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97" w:rsidRPr="002F455B" w:rsidRDefault="00290997" w:rsidP="00290997">
      <w:pPr>
        <w:widowControl/>
        <w:adjustRightInd w:val="0"/>
        <w:snapToGrid w:val="0"/>
        <w:spacing w:line="360" w:lineRule="auto"/>
        <w:jc w:val="center"/>
        <w:rPr>
          <w:rFonts w:ascii="Times New Roman" w:eastAsia="黑体" w:hAnsi="Times New Roman"/>
          <w:b/>
          <w:kern w:val="0"/>
          <w:sz w:val="28"/>
          <w:szCs w:val="36"/>
        </w:rPr>
      </w:pPr>
      <w:r w:rsidRPr="002F455B">
        <w:rPr>
          <w:rFonts w:ascii="Times New Roman" w:eastAsia="黑体" w:hAnsi="Times New Roman"/>
          <w:b/>
          <w:kern w:val="0"/>
          <w:sz w:val="28"/>
          <w:szCs w:val="36"/>
        </w:rPr>
        <w:t>国信证券股份有限公司</w:t>
      </w:r>
    </w:p>
    <w:p w:rsidR="00290997" w:rsidRPr="002F455B" w:rsidRDefault="00290997" w:rsidP="00290997">
      <w:pPr>
        <w:widowControl/>
        <w:adjustRightInd w:val="0"/>
        <w:snapToGrid w:val="0"/>
        <w:spacing w:line="360" w:lineRule="auto"/>
        <w:jc w:val="center"/>
        <w:rPr>
          <w:rFonts w:ascii="Times New Roman" w:eastAsia="黑体" w:hAnsi="Times New Roman"/>
          <w:b/>
          <w:kern w:val="0"/>
          <w:sz w:val="28"/>
          <w:szCs w:val="36"/>
        </w:rPr>
      </w:pPr>
      <w:r w:rsidRPr="002F455B">
        <w:rPr>
          <w:rFonts w:ascii="Times New Roman" w:eastAsia="黑体" w:hAnsi="Times New Roman"/>
          <w:b/>
          <w:kern w:val="0"/>
          <w:sz w:val="28"/>
          <w:szCs w:val="36"/>
        </w:rPr>
        <w:t>关于</w:t>
      </w:r>
      <w:r w:rsidRPr="002F455B">
        <w:rPr>
          <w:rFonts w:ascii="Times New Roman" w:eastAsia="黑体" w:hAnsi="Times New Roman" w:hint="eastAsia"/>
          <w:b/>
          <w:kern w:val="0"/>
          <w:sz w:val="28"/>
          <w:szCs w:val="36"/>
        </w:rPr>
        <w:t>埃夫特智能装备</w:t>
      </w:r>
      <w:r w:rsidRPr="002F455B">
        <w:rPr>
          <w:rFonts w:ascii="Times New Roman" w:eastAsia="黑体" w:hAnsi="Times New Roman"/>
          <w:b/>
          <w:kern w:val="0"/>
          <w:sz w:val="28"/>
          <w:szCs w:val="36"/>
        </w:rPr>
        <w:t>股份有限公司</w:t>
      </w:r>
    </w:p>
    <w:p w:rsidR="00290997" w:rsidRPr="002F455B" w:rsidRDefault="00936845" w:rsidP="00290997">
      <w:pPr>
        <w:widowControl/>
        <w:adjustRightInd w:val="0"/>
        <w:snapToGrid w:val="0"/>
        <w:spacing w:line="360" w:lineRule="auto"/>
        <w:jc w:val="center"/>
        <w:rPr>
          <w:rFonts w:ascii="Times New Roman" w:eastAsia="黑体" w:hAnsi="Times New Roman"/>
          <w:b/>
          <w:kern w:val="0"/>
          <w:sz w:val="28"/>
          <w:szCs w:val="36"/>
        </w:rPr>
      </w:pPr>
      <w:r w:rsidRPr="002F455B">
        <w:rPr>
          <w:rFonts w:ascii="Times New Roman" w:eastAsia="黑体" w:hAnsi="Times New Roman" w:hint="eastAsia"/>
          <w:b/>
          <w:kern w:val="0"/>
          <w:sz w:val="28"/>
          <w:szCs w:val="36"/>
        </w:rPr>
        <w:t>收购参股公司股权、签订技术许可协议暨关联交易</w:t>
      </w:r>
      <w:r w:rsidR="00290997" w:rsidRPr="002F455B">
        <w:rPr>
          <w:rFonts w:ascii="Times New Roman" w:eastAsia="黑体" w:hAnsi="Times New Roman" w:hint="eastAsia"/>
          <w:b/>
          <w:kern w:val="0"/>
          <w:sz w:val="28"/>
          <w:szCs w:val="36"/>
        </w:rPr>
        <w:t>的核查意见</w:t>
      </w:r>
    </w:p>
    <w:p w:rsidR="00290997" w:rsidRPr="002F455B" w:rsidRDefault="00290997" w:rsidP="00290997">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国信证券股份有限公司（以下简称</w:t>
      </w:r>
      <w:r w:rsidRPr="002F455B">
        <w:rPr>
          <w:rFonts w:ascii="Times New Roman" w:hAnsi="Times New Roman"/>
          <w:sz w:val="24"/>
          <w:szCs w:val="28"/>
        </w:rPr>
        <w:t>“</w:t>
      </w:r>
      <w:r w:rsidRPr="002F455B">
        <w:rPr>
          <w:rFonts w:ascii="Times New Roman" w:hAnsi="Times New Roman"/>
          <w:sz w:val="24"/>
          <w:szCs w:val="28"/>
        </w:rPr>
        <w:t>国信证券</w:t>
      </w:r>
      <w:r w:rsidRPr="002F455B">
        <w:rPr>
          <w:rFonts w:ascii="Times New Roman" w:hAnsi="Times New Roman"/>
          <w:sz w:val="24"/>
          <w:szCs w:val="28"/>
        </w:rPr>
        <w:t>”</w:t>
      </w:r>
      <w:r w:rsidRPr="002F455B">
        <w:rPr>
          <w:rFonts w:ascii="Times New Roman" w:hAnsi="Times New Roman"/>
          <w:sz w:val="24"/>
          <w:szCs w:val="28"/>
        </w:rPr>
        <w:t>或</w:t>
      </w:r>
      <w:r w:rsidRPr="002F455B">
        <w:rPr>
          <w:rFonts w:ascii="Times New Roman" w:hAnsi="Times New Roman"/>
          <w:sz w:val="24"/>
          <w:szCs w:val="28"/>
        </w:rPr>
        <w:t>“</w:t>
      </w:r>
      <w:r w:rsidRPr="002F455B">
        <w:rPr>
          <w:rFonts w:ascii="Times New Roman" w:hAnsi="Times New Roman" w:hint="eastAsia"/>
          <w:sz w:val="24"/>
          <w:szCs w:val="28"/>
        </w:rPr>
        <w:t>保荐机构</w:t>
      </w:r>
      <w:r w:rsidRPr="002F455B">
        <w:rPr>
          <w:rFonts w:ascii="Times New Roman" w:hAnsi="Times New Roman"/>
          <w:sz w:val="24"/>
          <w:szCs w:val="28"/>
        </w:rPr>
        <w:t>”</w:t>
      </w:r>
      <w:r w:rsidRPr="002F455B">
        <w:rPr>
          <w:rFonts w:ascii="Times New Roman" w:hAnsi="Times New Roman"/>
          <w:sz w:val="24"/>
          <w:szCs w:val="28"/>
        </w:rPr>
        <w:t>）作为</w:t>
      </w:r>
      <w:r w:rsidRPr="002F455B">
        <w:rPr>
          <w:rFonts w:ascii="Times New Roman" w:hAnsi="Times New Roman" w:hint="eastAsia"/>
          <w:sz w:val="24"/>
          <w:szCs w:val="28"/>
        </w:rPr>
        <w:t>埃夫</w:t>
      </w:r>
      <w:proofErr w:type="gramStart"/>
      <w:r w:rsidRPr="002F455B">
        <w:rPr>
          <w:rFonts w:ascii="Times New Roman" w:hAnsi="Times New Roman" w:hint="eastAsia"/>
          <w:sz w:val="24"/>
          <w:szCs w:val="28"/>
        </w:rPr>
        <w:t>特</w:t>
      </w:r>
      <w:proofErr w:type="gramEnd"/>
      <w:r w:rsidRPr="002F455B">
        <w:rPr>
          <w:rFonts w:ascii="Times New Roman" w:hAnsi="Times New Roman" w:hint="eastAsia"/>
          <w:sz w:val="24"/>
          <w:szCs w:val="28"/>
        </w:rPr>
        <w:t>智能装备股份有限公司（以下简称“埃夫特”或“公司”）首次公开发行股票并在</w:t>
      </w:r>
      <w:proofErr w:type="gramStart"/>
      <w:r w:rsidRPr="002F455B">
        <w:rPr>
          <w:rFonts w:ascii="Times New Roman" w:hAnsi="Times New Roman" w:hint="eastAsia"/>
          <w:sz w:val="24"/>
          <w:szCs w:val="28"/>
        </w:rPr>
        <w:t>科创板</w:t>
      </w:r>
      <w:proofErr w:type="gramEnd"/>
      <w:r w:rsidRPr="002F455B">
        <w:rPr>
          <w:rFonts w:ascii="Times New Roman" w:hAnsi="Times New Roman" w:hint="eastAsia"/>
          <w:sz w:val="24"/>
          <w:szCs w:val="28"/>
        </w:rPr>
        <w:t>上市的保荐机构，根据《中华人民共和国公司法》、《中华人民共和国证券法》、《证券发行上市保荐业务管理办法》、《上海证券交易所科创板股票上市规则》、《上海证券交易所上市公司持续督导工作指引》等法律、法规和规范性文件的要求，对</w:t>
      </w:r>
      <w:proofErr w:type="gramStart"/>
      <w:r w:rsidRPr="002F455B">
        <w:rPr>
          <w:rFonts w:ascii="Times New Roman" w:hAnsi="Times New Roman" w:hint="eastAsia"/>
          <w:sz w:val="24"/>
          <w:szCs w:val="28"/>
        </w:rPr>
        <w:t>埃夫特</w:t>
      </w:r>
      <w:r w:rsidR="00936845" w:rsidRPr="002F455B">
        <w:rPr>
          <w:rFonts w:ascii="Times New Roman" w:hAnsi="Times New Roman" w:hint="eastAsia"/>
          <w:sz w:val="24"/>
          <w:szCs w:val="28"/>
        </w:rPr>
        <w:t>收购</w:t>
      </w:r>
      <w:proofErr w:type="gramEnd"/>
      <w:r w:rsidR="00936845" w:rsidRPr="002F455B">
        <w:rPr>
          <w:rFonts w:ascii="Times New Roman" w:hAnsi="Times New Roman" w:hint="eastAsia"/>
          <w:sz w:val="24"/>
          <w:szCs w:val="28"/>
        </w:rPr>
        <w:t>参股公司股权、签订技术许可协议暨关联交易</w:t>
      </w:r>
      <w:r w:rsidRPr="002F455B">
        <w:rPr>
          <w:rFonts w:ascii="Times New Roman" w:hAnsi="Times New Roman" w:hint="eastAsia"/>
          <w:sz w:val="24"/>
          <w:szCs w:val="28"/>
        </w:rPr>
        <w:t>事项进行了核查，核查情况及核查意见如下：</w:t>
      </w:r>
    </w:p>
    <w:p w:rsidR="00290997" w:rsidRPr="002F455B" w:rsidRDefault="00290997" w:rsidP="00290997">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b/>
          <w:bCs/>
          <w:sz w:val="24"/>
          <w:szCs w:val="32"/>
        </w:rPr>
        <w:t>一、</w:t>
      </w:r>
      <w:r w:rsidRPr="002F455B">
        <w:rPr>
          <w:rFonts w:ascii="Times New Roman" w:hAnsi="Times New Roman" w:hint="eastAsia"/>
          <w:b/>
          <w:bCs/>
          <w:sz w:val="24"/>
          <w:szCs w:val="32"/>
        </w:rPr>
        <w:t>本次</w:t>
      </w:r>
      <w:r w:rsidR="00936845" w:rsidRPr="002F455B">
        <w:rPr>
          <w:rFonts w:ascii="Times New Roman" w:hAnsi="Times New Roman" w:hint="eastAsia"/>
          <w:b/>
          <w:bCs/>
          <w:sz w:val="24"/>
          <w:szCs w:val="32"/>
        </w:rPr>
        <w:t>交易概述</w:t>
      </w:r>
    </w:p>
    <w:p w:rsidR="00936845" w:rsidRPr="002F455B" w:rsidRDefault="0052144C" w:rsidP="00B9402A">
      <w:pPr>
        <w:spacing w:beforeLines="50" w:before="156" w:line="360" w:lineRule="auto"/>
        <w:ind w:firstLineChars="200" w:firstLine="482"/>
        <w:outlineLvl w:val="1"/>
        <w:rPr>
          <w:rFonts w:ascii="Times New Roman" w:hAnsi="Times New Roman"/>
          <w:b/>
          <w:sz w:val="24"/>
          <w:szCs w:val="28"/>
        </w:rPr>
      </w:pPr>
      <w:r>
        <w:rPr>
          <w:rFonts w:ascii="Times New Roman" w:hAnsi="Times New Roman" w:hint="eastAsia"/>
          <w:b/>
          <w:sz w:val="24"/>
          <w:szCs w:val="28"/>
        </w:rPr>
        <w:t>（一</w:t>
      </w:r>
      <w:r w:rsidR="00936845" w:rsidRPr="002F455B">
        <w:rPr>
          <w:rFonts w:ascii="Times New Roman" w:hAnsi="Times New Roman" w:hint="eastAsia"/>
          <w:b/>
          <w:sz w:val="24"/>
          <w:szCs w:val="28"/>
        </w:rPr>
        <w:t>）拟与参股公司</w:t>
      </w:r>
      <w:r w:rsidR="00936845" w:rsidRPr="002F455B">
        <w:rPr>
          <w:rFonts w:ascii="Times New Roman" w:hAnsi="Times New Roman" w:hint="eastAsia"/>
          <w:b/>
          <w:sz w:val="24"/>
          <w:szCs w:val="28"/>
        </w:rPr>
        <w:t>ROBOX</w:t>
      </w:r>
      <w:r w:rsidR="00936845" w:rsidRPr="002F455B">
        <w:rPr>
          <w:rFonts w:ascii="Times New Roman" w:hAnsi="Times New Roman" w:hint="eastAsia"/>
          <w:b/>
          <w:sz w:val="24"/>
          <w:szCs w:val="28"/>
        </w:rPr>
        <w:t>签订技术许可协议暨关联交易事项</w:t>
      </w:r>
    </w:p>
    <w:p w:rsidR="00936845" w:rsidRPr="002F455B" w:rsidRDefault="00936845" w:rsidP="00936845">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公司拟与</w:t>
      </w:r>
      <w:r w:rsidRPr="002F455B">
        <w:rPr>
          <w:rFonts w:ascii="Times New Roman" w:hAnsi="Times New Roman" w:hint="eastAsia"/>
          <w:sz w:val="24"/>
          <w:szCs w:val="28"/>
        </w:rPr>
        <w:t>ROBOX</w:t>
      </w:r>
      <w:r w:rsidRPr="002F455B">
        <w:rPr>
          <w:rFonts w:ascii="Times New Roman" w:hAnsi="Times New Roman" w:hint="eastAsia"/>
          <w:sz w:val="24"/>
          <w:szCs w:val="28"/>
        </w:rPr>
        <w:t>签署《技术许可协议》，</w:t>
      </w:r>
      <w:r w:rsidRPr="002F455B">
        <w:rPr>
          <w:rFonts w:ascii="Times New Roman" w:hAnsi="Times New Roman" w:hint="eastAsia"/>
          <w:sz w:val="24"/>
          <w:szCs w:val="28"/>
        </w:rPr>
        <w:t>ROBOX</w:t>
      </w:r>
      <w:r w:rsidRPr="002F455B">
        <w:rPr>
          <w:rFonts w:ascii="Times New Roman" w:hAnsi="Times New Roman" w:hint="eastAsia"/>
          <w:sz w:val="24"/>
          <w:szCs w:val="28"/>
        </w:rPr>
        <w:t>将其拥有的“</w:t>
      </w:r>
      <w:r w:rsidRPr="002F455B">
        <w:rPr>
          <w:rFonts w:ascii="Times New Roman" w:hAnsi="Times New Roman" w:hint="eastAsia"/>
          <w:sz w:val="24"/>
          <w:szCs w:val="28"/>
        </w:rPr>
        <w:t>RTM</w:t>
      </w:r>
      <w:r w:rsidRPr="002F455B">
        <w:rPr>
          <w:rFonts w:ascii="Times New Roman" w:hAnsi="Times New Roman" w:hint="eastAsia"/>
          <w:sz w:val="24"/>
          <w:szCs w:val="28"/>
        </w:rPr>
        <w:t>和</w:t>
      </w:r>
      <w:r w:rsidRPr="002F455B">
        <w:rPr>
          <w:rFonts w:ascii="Times New Roman" w:hAnsi="Times New Roman" w:hint="eastAsia"/>
          <w:sz w:val="24"/>
          <w:szCs w:val="28"/>
        </w:rPr>
        <w:t>OB</w:t>
      </w:r>
      <w:r w:rsidRPr="002F455B">
        <w:rPr>
          <w:rFonts w:ascii="Times New Roman" w:hAnsi="Times New Roman" w:hint="eastAsia"/>
          <w:sz w:val="24"/>
          <w:szCs w:val="28"/>
        </w:rPr>
        <w:t>源代码及文件”“</w:t>
      </w:r>
      <w:r w:rsidRPr="002F455B">
        <w:rPr>
          <w:rFonts w:ascii="Times New Roman" w:hAnsi="Times New Roman" w:hint="eastAsia"/>
          <w:sz w:val="24"/>
          <w:szCs w:val="28"/>
        </w:rPr>
        <w:t>RPE</w:t>
      </w:r>
      <w:r w:rsidRPr="002F455B">
        <w:rPr>
          <w:rFonts w:ascii="Times New Roman" w:hAnsi="Times New Roman" w:hint="eastAsia"/>
          <w:sz w:val="24"/>
          <w:szCs w:val="28"/>
        </w:rPr>
        <w:t>和</w:t>
      </w:r>
      <w:r w:rsidRPr="002F455B">
        <w:rPr>
          <w:rFonts w:ascii="Times New Roman" w:hAnsi="Times New Roman" w:hint="eastAsia"/>
          <w:sz w:val="24"/>
          <w:szCs w:val="28"/>
        </w:rPr>
        <w:t>RPL</w:t>
      </w:r>
      <w:r w:rsidRPr="002F455B">
        <w:rPr>
          <w:rFonts w:ascii="Times New Roman" w:hAnsi="Times New Roman" w:hint="eastAsia"/>
          <w:sz w:val="24"/>
          <w:szCs w:val="28"/>
        </w:rPr>
        <w:t>源代码及文件”“</w:t>
      </w:r>
      <w:r w:rsidRPr="002F455B">
        <w:rPr>
          <w:rFonts w:ascii="Times New Roman" w:hAnsi="Times New Roman" w:hint="eastAsia"/>
          <w:sz w:val="24"/>
          <w:szCs w:val="28"/>
        </w:rPr>
        <w:t>RTE</w:t>
      </w:r>
      <w:r w:rsidRPr="002F455B">
        <w:rPr>
          <w:rFonts w:ascii="Times New Roman" w:hAnsi="Times New Roman" w:hint="eastAsia"/>
          <w:sz w:val="24"/>
          <w:szCs w:val="28"/>
        </w:rPr>
        <w:t>源代码及文件”授权公司使用，该技术许可的性质为非排他性、永久的、不可撤销的、全球性、不可转让的、可收取版税的许可。公司将就上述技术的授权支付</w:t>
      </w:r>
      <w:r w:rsidRPr="002F455B">
        <w:rPr>
          <w:rFonts w:ascii="Times New Roman" w:hAnsi="Times New Roman" w:hint="eastAsia"/>
          <w:sz w:val="24"/>
          <w:szCs w:val="28"/>
        </w:rPr>
        <w:t>ROBOX 100</w:t>
      </w:r>
      <w:r w:rsidRPr="002F455B">
        <w:rPr>
          <w:rFonts w:ascii="Times New Roman" w:hAnsi="Times New Roman" w:hint="eastAsia"/>
          <w:sz w:val="24"/>
          <w:szCs w:val="28"/>
        </w:rPr>
        <w:t>万欧元的技术服务费。同时公司将在</w:t>
      </w:r>
      <w:r w:rsidRPr="002F455B">
        <w:rPr>
          <w:rFonts w:ascii="Times New Roman" w:hAnsi="Times New Roman" w:hint="eastAsia"/>
          <w:sz w:val="24"/>
          <w:szCs w:val="28"/>
        </w:rPr>
        <w:t>10</w:t>
      </w:r>
      <w:r w:rsidRPr="002F455B">
        <w:rPr>
          <w:rFonts w:ascii="Times New Roman" w:hAnsi="Times New Roman" w:hint="eastAsia"/>
          <w:sz w:val="24"/>
          <w:szCs w:val="28"/>
        </w:rPr>
        <w:t>年内基于机器人整机产量支付</w:t>
      </w:r>
      <w:r w:rsidRPr="002F455B">
        <w:rPr>
          <w:rFonts w:ascii="Times New Roman" w:hAnsi="Times New Roman" w:hint="eastAsia"/>
          <w:sz w:val="24"/>
          <w:szCs w:val="28"/>
        </w:rPr>
        <w:t>ROBOX</w:t>
      </w:r>
      <w:r w:rsidRPr="002F455B">
        <w:rPr>
          <w:rFonts w:ascii="Times New Roman" w:hAnsi="Times New Roman" w:hint="eastAsia"/>
          <w:sz w:val="24"/>
          <w:szCs w:val="28"/>
        </w:rPr>
        <w:t>特许权使用费。</w:t>
      </w:r>
    </w:p>
    <w:p w:rsidR="00936845" w:rsidRPr="002F455B" w:rsidRDefault="00936845" w:rsidP="00936845">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根据《上海证券交易所科创板股票上市规则》等有关规定，</w:t>
      </w:r>
      <w:r w:rsidRPr="002F455B">
        <w:rPr>
          <w:rFonts w:ascii="Times New Roman" w:hAnsi="Times New Roman" w:hint="eastAsia"/>
          <w:sz w:val="24"/>
          <w:szCs w:val="28"/>
        </w:rPr>
        <w:t>ROBOX</w:t>
      </w:r>
      <w:r w:rsidRPr="002F455B">
        <w:rPr>
          <w:rFonts w:ascii="Times New Roman" w:hAnsi="Times New Roman" w:hint="eastAsia"/>
          <w:sz w:val="24"/>
          <w:szCs w:val="28"/>
        </w:rPr>
        <w:t>为公司的重要参股公司，且公司董事、总经理游玮担任</w:t>
      </w:r>
      <w:r w:rsidRPr="002F455B">
        <w:rPr>
          <w:rFonts w:ascii="Times New Roman" w:hAnsi="Times New Roman" w:hint="eastAsia"/>
          <w:sz w:val="24"/>
          <w:szCs w:val="28"/>
        </w:rPr>
        <w:t>ROBOX</w:t>
      </w:r>
      <w:r w:rsidRPr="002F455B">
        <w:rPr>
          <w:rFonts w:ascii="Times New Roman" w:hAnsi="Times New Roman" w:hint="eastAsia"/>
          <w:sz w:val="24"/>
          <w:szCs w:val="28"/>
        </w:rPr>
        <w:t>董事，因此</w:t>
      </w:r>
      <w:r w:rsidRPr="002F455B">
        <w:rPr>
          <w:rFonts w:ascii="Times New Roman" w:hAnsi="Times New Roman" w:hint="eastAsia"/>
          <w:sz w:val="24"/>
          <w:szCs w:val="28"/>
        </w:rPr>
        <w:t>ROBOX</w:t>
      </w:r>
      <w:r w:rsidRPr="002F455B">
        <w:rPr>
          <w:rFonts w:ascii="Times New Roman" w:hAnsi="Times New Roman" w:hint="eastAsia"/>
          <w:sz w:val="24"/>
          <w:szCs w:val="28"/>
        </w:rPr>
        <w:t>属于公司的关联法人，故本次技术交易构成关联交易，但不构成《上市公司重大资产重组管理办法》规定的重大资产重组。</w:t>
      </w:r>
    </w:p>
    <w:p w:rsidR="00936845" w:rsidRPr="002F455B" w:rsidRDefault="00936845" w:rsidP="00936845">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截至本次关联交易审议前</w:t>
      </w:r>
      <w:r w:rsidRPr="002F455B">
        <w:rPr>
          <w:rFonts w:ascii="Times New Roman" w:hAnsi="Times New Roman" w:hint="eastAsia"/>
          <w:sz w:val="24"/>
          <w:szCs w:val="28"/>
        </w:rPr>
        <w:t>12</w:t>
      </w:r>
      <w:r w:rsidRPr="002F455B">
        <w:rPr>
          <w:rFonts w:ascii="Times New Roman" w:hAnsi="Times New Roman" w:hint="eastAsia"/>
          <w:sz w:val="24"/>
          <w:szCs w:val="28"/>
        </w:rPr>
        <w:t>个月内，公司与</w:t>
      </w:r>
      <w:r w:rsidRPr="002F455B">
        <w:rPr>
          <w:rFonts w:ascii="Times New Roman" w:hAnsi="Times New Roman" w:hint="eastAsia"/>
          <w:sz w:val="24"/>
          <w:szCs w:val="28"/>
        </w:rPr>
        <w:t>ROBOX</w:t>
      </w:r>
      <w:r w:rsidRPr="002F455B">
        <w:rPr>
          <w:rFonts w:ascii="Times New Roman" w:hAnsi="Times New Roman" w:hint="eastAsia"/>
          <w:sz w:val="24"/>
          <w:szCs w:val="28"/>
        </w:rPr>
        <w:t>的关联交易金额为</w:t>
      </w:r>
      <w:r w:rsidRPr="002F455B">
        <w:rPr>
          <w:rFonts w:ascii="Times New Roman" w:hAnsi="Times New Roman" w:hint="eastAsia"/>
          <w:sz w:val="24"/>
          <w:szCs w:val="28"/>
        </w:rPr>
        <w:t>2,300.2</w:t>
      </w:r>
      <w:r w:rsidRPr="002F455B">
        <w:rPr>
          <w:rFonts w:ascii="Times New Roman" w:hAnsi="Times New Roman" w:hint="eastAsia"/>
          <w:sz w:val="24"/>
          <w:szCs w:val="28"/>
        </w:rPr>
        <w:t>万元。本次</w:t>
      </w:r>
      <w:r w:rsidR="00B30EFD">
        <w:rPr>
          <w:rFonts w:ascii="Times New Roman" w:hAnsi="Times New Roman" w:hint="eastAsia"/>
          <w:sz w:val="24"/>
          <w:szCs w:val="28"/>
        </w:rPr>
        <w:t>技术</w:t>
      </w:r>
      <w:r w:rsidRPr="002F455B">
        <w:rPr>
          <w:rFonts w:ascii="Times New Roman" w:hAnsi="Times New Roman" w:hint="eastAsia"/>
          <w:sz w:val="24"/>
          <w:szCs w:val="28"/>
        </w:rPr>
        <w:t>交易已经公司第二届董事会二十三次会议和第二届监事会十四次会议审议通过，关联董事游玮回避了表决，独立董事已就该事项发表了事前认可意见及独立意见。</w:t>
      </w:r>
    </w:p>
    <w:p w:rsidR="0052144C" w:rsidRPr="002F455B" w:rsidRDefault="0052144C" w:rsidP="0052144C">
      <w:pPr>
        <w:spacing w:beforeLines="50" w:before="156" w:line="360" w:lineRule="auto"/>
        <w:ind w:firstLineChars="200" w:firstLine="482"/>
        <w:outlineLvl w:val="1"/>
        <w:rPr>
          <w:rFonts w:ascii="Times New Roman" w:hAnsi="Times New Roman"/>
          <w:b/>
          <w:sz w:val="24"/>
          <w:szCs w:val="28"/>
        </w:rPr>
      </w:pPr>
      <w:r>
        <w:rPr>
          <w:rFonts w:ascii="Times New Roman" w:hAnsi="Times New Roman" w:hint="eastAsia"/>
          <w:b/>
          <w:sz w:val="24"/>
          <w:szCs w:val="28"/>
        </w:rPr>
        <w:t>（二</w:t>
      </w:r>
      <w:r w:rsidRPr="002F455B">
        <w:rPr>
          <w:rFonts w:ascii="Times New Roman" w:hAnsi="Times New Roman" w:hint="eastAsia"/>
          <w:b/>
          <w:sz w:val="24"/>
          <w:szCs w:val="28"/>
        </w:rPr>
        <w:t>）拟收购参股公司</w:t>
      </w:r>
      <w:r w:rsidRPr="002F455B">
        <w:rPr>
          <w:rFonts w:ascii="Times New Roman" w:hAnsi="Times New Roman" w:hint="eastAsia"/>
          <w:b/>
          <w:sz w:val="24"/>
          <w:szCs w:val="28"/>
        </w:rPr>
        <w:t>ROBOX 9%</w:t>
      </w:r>
      <w:r w:rsidRPr="002F455B">
        <w:rPr>
          <w:rFonts w:ascii="Times New Roman" w:hAnsi="Times New Roman" w:hint="eastAsia"/>
          <w:b/>
          <w:sz w:val="24"/>
          <w:szCs w:val="28"/>
        </w:rPr>
        <w:t>股权事项</w:t>
      </w:r>
    </w:p>
    <w:p w:rsidR="0052144C" w:rsidRPr="002F455B" w:rsidRDefault="0052144C" w:rsidP="0052144C">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ROBOX</w:t>
      </w:r>
      <w:r w:rsidRPr="002F455B">
        <w:rPr>
          <w:rFonts w:ascii="Times New Roman" w:hAnsi="Times New Roman" w:hint="eastAsia"/>
          <w:sz w:val="24"/>
          <w:szCs w:val="28"/>
        </w:rPr>
        <w:t>为公司的重要参股公司，公司持有其</w:t>
      </w:r>
      <w:r w:rsidRPr="002F455B">
        <w:rPr>
          <w:rFonts w:ascii="Times New Roman" w:hAnsi="Times New Roman" w:hint="eastAsia"/>
          <w:sz w:val="24"/>
          <w:szCs w:val="28"/>
        </w:rPr>
        <w:t>40%</w:t>
      </w:r>
      <w:r w:rsidRPr="002F455B">
        <w:rPr>
          <w:rFonts w:ascii="Times New Roman" w:hAnsi="Times New Roman" w:hint="eastAsia"/>
          <w:sz w:val="24"/>
          <w:szCs w:val="28"/>
        </w:rPr>
        <w:t>股权，</w:t>
      </w:r>
      <w:proofErr w:type="spellStart"/>
      <w:r w:rsidRPr="002F455B">
        <w:rPr>
          <w:rFonts w:ascii="Times New Roman" w:hAnsi="Times New Roman" w:hint="eastAsia"/>
          <w:sz w:val="24"/>
          <w:szCs w:val="28"/>
        </w:rPr>
        <w:t>Marzio</w:t>
      </w:r>
      <w:proofErr w:type="spellEnd"/>
      <w:r w:rsidRPr="002F455B">
        <w:rPr>
          <w:rFonts w:ascii="Times New Roman" w:hAnsi="Times New Roman" w:hint="eastAsia"/>
          <w:sz w:val="24"/>
          <w:szCs w:val="28"/>
        </w:rPr>
        <w:t xml:space="preserve"> </w:t>
      </w:r>
      <w:proofErr w:type="spellStart"/>
      <w:r w:rsidRPr="002F455B">
        <w:rPr>
          <w:rFonts w:ascii="Times New Roman" w:hAnsi="Times New Roman" w:hint="eastAsia"/>
          <w:sz w:val="24"/>
          <w:szCs w:val="28"/>
        </w:rPr>
        <w:t>Montorsi</w:t>
      </w:r>
      <w:proofErr w:type="spellEnd"/>
      <w:r w:rsidRPr="002F455B">
        <w:rPr>
          <w:rFonts w:ascii="Times New Roman" w:hAnsi="Times New Roman" w:hint="eastAsia"/>
          <w:sz w:val="24"/>
          <w:szCs w:val="28"/>
        </w:rPr>
        <w:t>持有其</w:t>
      </w:r>
      <w:r w:rsidRPr="002F455B">
        <w:rPr>
          <w:rFonts w:ascii="Times New Roman" w:hAnsi="Times New Roman" w:hint="eastAsia"/>
          <w:sz w:val="24"/>
          <w:szCs w:val="28"/>
        </w:rPr>
        <w:lastRenderedPageBreak/>
        <w:t>30.99%</w:t>
      </w:r>
      <w:r w:rsidRPr="002F455B">
        <w:rPr>
          <w:rFonts w:ascii="Times New Roman" w:hAnsi="Times New Roman" w:hint="eastAsia"/>
          <w:sz w:val="24"/>
          <w:szCs w:val="28"/>
        </w:rPr>
        <w:t>股权、</w:t>
      </w:r>
      <w:r w:rsidRPr="002F455B">
        <w:rPr>
          <w:rFonts w:ascii="Times New Roman" w:hAnsi="Times New Roman" w:hint="eastAsia"/>
          <w:sz w:val="24"/>
          <w:szCs w:val="28"/>
        </w:rPr>
        <w:t xml:space="preserve">Lea </w:t>
      </w:r>
      <w:proofErr w:type="spellStart"/>
      <w:r w:rsidRPr="002F455B">
        <w:rPr>
          <w:rFonts w:ascii="Times New Roman" w:hAnsi="Times New Roman" w:hint="eastAsia"/>
          <w:sz w:val="24"/>
          <w:szCs w:val="28"/>
        </w:rPr>
        <w:t>Montorsi</w:t>
      </w:r>
      <w:proofErr w:type="spellEnd"/>
      <w:r w:rsidRPr="002F455B">
        <w:rPr>
          <w:rFonts w:ascii="Times New Roman" w:hAnsi="Times New Roman" w:hint="eastAsia"/>
          <w:sz w:val="24"/>
          <w:szCs w:val="28"/>
        </w:rPr>
        <w:t>持有其</w:t>
      </w:r>
      <w:r w:rsidRPr="002F455B">
        <w:rPr>
          <w:rFonts w:ascii="Times New Roman" w:hAnsi="Times New Roman" w:hint="eastAsia"/>
          <w:sz w:val="24"/>
          <w:szCs w:val="28"/>
        </w:rPr>
        <w:t>29.01%</w:t>
      </w:r>
      <w:r w:rsidRPr="002F455B">
        <w:rPr>
          <w:rFonts w:ascii="Times New Roman" w:hAnsi="Times New Roman" w:hint="eastAsia"/>
          <w:sz w:val="24"/>
          <w:szCs w:val="28"/>
        </w:rPr>
        <w:t>股权。现公司拟与</w:t>
      </w:r>
      <w:proofErr w:type="spellStart"/>
      <w:r w:rsidRPr="002F455B">
        <w:rPr>
          <w:rFonts w:ascii="Times New Roman" w:hAnsi="Times New Roman" w:hint="eastAsia"/>
          <w:sz w:val="24"/>
          <w:szCs w:val="28"/>
        </w:rPr>
        <w:t>Marzio</w:t>
      </w:r>
      <w:proofErr w:type="spellEnd"/>
      <w:r w:rsidRPr="002F455B">
        <w:rPr>
          <w:rFonts w:ascii="Times New Roman" w:hAnsi="Times New Roman" w:hint="eastAsia"/>
          <w:sz w:val="24"/>
          <w:szCs w:val="28"/>
        </w:rPr>
        <w:t xml:space="preserve"> </w:t>
      </w:r>
      <w:proofErr w:type="spellStart"/>
      <w:r w:rsidRPr="002F455B">
        <w:rPr>
          <w:rFonts w:ascii="Times New Roman" w:hAnsi="Times New Roman" w:hint="eastAsia"/>
          <w:sz w:val="24"/>
          <w:szCs w:val="28"/>
        </w:rPr>
        <w:t>Montorsi</w:t>
      </w:r>
      <w:proofErr w:type="spellEnd"/>
      <w:r w:rsidRPr="002F455B">
        <w:rPr>
          <w:rFonts w:ascii="Times New Roman" w:hAnsi="Times New Roman" w:hint="eastAsia"/>
          <w:sz w:val="24"/>
          <w:szCs w:val="28"/>
        </w:rPr>
        <w:t>、</w:t>
      </w:r>
      <w:r w:rsidRPr="002F455B">
        <w:rPr>
          <w:rFonts w:ascii="Times New Roman" w:hAnsi="Times New Roman" w:hint="eastAsia"/>
          <w:sz w:val="24"/>
          <w:szCs w:val="28"/>
        </w:rPr>
        <w:t xml:space="preserve">Lea </w:t>
      </w:r>
      <w:proofErr w:type="spellStart"/>
      <w:r w:rsidRPr="002F455B">
        <w:rPr>
          <w:rFonts w:ascii="Times New Roman" w:hAnsi="Times New Roman" w:hint="eastAsia"/>
          <w:sz w:val="24"/>
          <w:szCs w:val="28"/>
        </w:rPr>
        <w:t>Montorsi</w:t>
      </w:r>
      <w:proofErr w:type="spellEnd"/>
      <w:r w:rsidRPr="002F455B">
        <w:rPr>
          <w:rFonts w:ascii="Times New Roman" w:hAnsi="Times New Roman" w:hint="eastAsia"/>
          <w:sz w:val="24"/>
          <w:szCs w:val="28"/>
        </w:rPr>
        <w:t>签署《股权转让协议》，以交易总对价</w:t>
      </w:r>
      <w:r w:rsidRPr="002F455B">
        <w:rPr>
          <w:rFonts w:ascii="Times New Roman" w:hAnsi="Times New Roman" w:hint="eastAsia"/>
          <w:sz w:val="24"/>
          <w:szCs w:val="28"/>
        </w:rPr>
        <w:t>200</w:t>
      </w:r>
      <w:r w:rsidRPr="002F455B">
        <w:rPr>
          <w:rFonts w:ascii="Times New Roman" w:hAnsi="Times New Roman" w:hint="eastAsia"/>
          <w:sz w:val="24"/>
          <w:szCs w:val="28"/>
        </w:rPr>
        <w:t>万欧元收购</w:t>
      </w:r>
      <w:r w:rsidRPr="002F455B">
        <w:rPr>
          <w:rFonts w:ascii="Times New Roman" w:hAnsi="Times New Roman" w:hint="eastAsia"/>
          <w:sz w:val="24"/>
          <w:szCs w:val="28"/>
        </w:rPr>
        <w:t>ROBOX 9%</w:t>
      </w:r>
      <w:r w:rsidRPr="002F455B">
        <w:rPr>
          <w:rFonts w:ascii="Times New Roman" w:hAnsi="Times New Roman" w:hint="eastAsia"/>
          <w:sz w:val="24"/>
          <w:szCs w:val="28"/>
        </w:rPr>
        <w:t>股权，其中拟分别收购</w:t>
      </w:r>
      <w:proofErr w:type="spellStart"/>
      <w:r w:rsidRPr="002F455B">
        <w:rPr>
          <w:rFonts w:ascii="Times New Roman" w:hAnsi="Times New Roman" w:hint="eastAsia"/>
          <w:sz w:val="24"/>
          <w:szCs w:val="28"/>
        </w:rPr>
        <w:t>Marzio</w:t>
      </w:r>
      <w:proofErr w:type="spellEnd"/>
      <w:r w:rsidRPr="002F455B">
        <w:rPr>
          <w:rFonts w:ascii="Times New Roman" w:hAnsi="Times New Roman" w:hint="eastAsia"/>
          <w:sz w:val="24"/>
          <w:szCs w:val="28"/>
        </w:rPr>
        <w:t xml:space="preserve"> </w:t>
      </w:r>
      <w:proofErr w:type="spellStart"/>
      <w:r w:rsidRPr="002F455B">
        <w:rPr>
          <w:rFonts w:ascii="Times New Roman" w:hAnsi="Times New Roman" w:hint="eastAsia"/>
          <w:sz w:val="24"/>
          <w:szCs w:val="28"/>
        </w:rPr>
        <w:t>Montorsi</w:t>
      </w:r>
      <w:proofErr w:type="spellEnd"/>
      <w:r w:rsidRPr="002F455B">
        <w:rPr>
          <w:rFonts w:ascii="Times New Roman" w:hAnsi="Times New Roman" w:hint="eastAsia"/>
          <w:sz w:val="24"/>
          <w:szCs w:val="28"/>
        </w:rPr>
        <w:t>、</w:t>
      </w:r>
      <w:r w:rsidRPr="002F455B">
        <w:rPr>
          <w:rFonts w:ascii="Times New Roman" w:hAnsi="Times New Roman" w:hint="eastAsia"/>
          <w:sz w:val="24"/>
          <w:szCs w:val="28"/>
        </w:rPr>
        <w:t xml:space="preserve"> Lea </w:t>
      </w:r>
      <w:proofErr w:type="spellStart"/>
      <w:r w:rsidRPr="002F455B">
        <w:rPr>
          <w:rFonts w:ascii="Times New Roman" w:hAnsi="Times New Roman" w:hint="eastAsia"/>
          <w:sz w:val="24"/>
          <w:szCs w:val="28"/>
        </w:rPr>
        <w:t>Montorsi</w:t>
      </w:r>
      <w:proofErr w:type="spellEnd"/>
      <w:r w:rsidRPr="002F455B">
        <w:rPr>
          <w:rFonts w:ascii="Times New Roman" w:hAnsi="Times New Roman" w:hint="eastAsia"/>
          <w:sz w:val="24"/>
          <w:szCs w:val="28"/>
        </w:rPr>
        <w:t>持有的</w:t>
      </w:r>
      <w:r w:rsidRPr="002F455B">
        <w:rPr>
          <w:rFonts w:ascii="Times New Roman" w:hAnsi="Times New Roman" w:hint="eastAsia"/>
          <w:sz w:val="24"/>
          <w:szCs w:val="28"/>
        </w:rPr>
        <w:t>ROBOX 4.5%</w:t>
      </w:r>
      <w:r w:rsidRPr="002F455B">
        <w:rPr>
          <w:rFonts w:ascii="Times New Roman" w:hAnsi="Times New Roman" w:hint="eastAsia"/>
          <w:sz w:val="24"/>
          <w:szCs w:val="28"/>
        </w:rPr>
        <w:t>的股权。收购资金来源于自有资金，收购方式为现金收购。交易完成后，公司将持有</w:t>
      </w:r>
      <w:r w:rsidRPr="002F455B">
        <w:rPr>
          <w:rFonts w:ascii="Times New Roman" w:hAnsi="Times New Roman" w:hint="eastAsia"/>
          <w:sz w:val="24"/>
          <w:szCs w:val="28"/>
        </w:rPr>
        <w:t>ROBOX 49%</w:t>
      </w:r>
      <w:r w:rsidRPr="002F455B">
        <w:rPr>
          <w:rFonts w:ascii="Times New Roman" w:hAnsi="Times New Roman" w:hint="eastAsia"/>
          <w:sz w:val="24"/>
          <w:szCs w:val="28"/>
        </w:rPr>
        <w:t>股权。</w:t>
      </w:r>
    </w:p>
    <w:p w:rsidR="00290997" w:rsidRPr="002F455B" w:rsidRDefault="00A449E4" w:rsidP="00936845">
      <w:pPr>
        <w:spacing w:beforeLines="50" w:before="156" w:line="360" w:lineRule="auto"/>
        <w:ind w:firstLineChars="200" w:firstLine="480"/>
        <w:rPr>
          <w:rFonts w:ascii="Times New Roman" w:hAnsi="Times New Roman"/>
          <w:sz w:val="24"/>
          <w:szCs w:val="28"/>
        </w:rPr>
      </w:pPr>
      <w:r>
        <w:rPr>
          <w:rFonts w:ascii="Times New Roman" w:hAnsi="Times New Roman" w:hint="eastAsia"/>
          <w:sz w:val="24"/>
          <w:szCs w:val="28"/>
        </w:rPr>
        <w:t>本次</w:t>
      </w:r>
      <w:r w:rsidR="00936845" w:rsidRPr="002F455B">
        <w:rPr>
          <w:rFonts w:ascii="Times New Roman" w:hAnsi="Times New Roman" w:hint="eastAsia"/>
          <w:sz w:val="24"/>
          <w:szCs w:val="28"/>
        </w:rPr>
        <w:t>技术交易中的技术服务费虽未达到股东大会审议标准，但因特许权使用费是在</w:t>
      </w:r>
      <w:r w:rsidR="00936845" w:rsidRPr="002F455B">
        <w:rPr>
          <w:rFonts w:ascii="Times New Roman" w:hAnsi="Times New Roman" w:hint="eastAsia"/>
          <w:sz w:val="24"/>
          <w:szCs w:val="28"/>
        </w:rPr>
        <w:t>10</w:t>
      </w:r>
      <w:r w:rsidR="00936845" w:rsidRPr="002F455B">
        <w:rPr>
          <w:rFonts w:ascii="Times New Roman" w:hAnsi="Times New Roman" w:hint="eastAsia"/>
          <w:sz w:val="24"/>
          <w:szCs w:val="28"/>
        </w:rPr>
        <w:t>年内基于机器人整机产量支付，具有不确定性</w:t>
      </w:r>
      <w:r w:rsidR="00E3461F">
        <w:rPr>
          <w:rFonts w:ascii="Times New Roman" w:hAnsi="Times New Roman" w:hint="eastAsia"/>
          <w:sz w:val="24"/>
          <w:szCs w:val="28"/>
        </w:rPr>
        <w:t>，基于谨慎性，本次技术交易需提交公司股东大会审议；本次股权交易</w:t>
      </w:r>
      <w:r w:rsidR="00936845" w:rsidRPr="002F455B">
        <w:rPr>
          <w:rFonts w:ascii="Times New Roman" w:hAnsi="Times New Roman" w:hint="eastAsia"/>
          <w:sz w:val="24"/>
          <w:szCs w:val="28"/>
        </w:rPr>
        <w:t>未达到股东大会审议标准，但因股权交易实施是以技术交易获得审批为前提条件，因此出于本次交易的完整性和谨慎性考虑，本次与技术交易一并提交股东大会审议。此外，股权交易事项尚待</w:t>
      </w:r>
      <w:proofErr w:type="gramStart"/>
      <w:r w:rsidR="00936845" w:rsidRPr="002F455B">
        <w:rPr>
          <w:rFonts w:ascii="Times New Roman" w:hAnsi="Times New Roman" w:hint="eastAsia"/>
          <w:sz w:val="24"/>
          <w:szCs w:val="28"/>
        </w:rPr>
        <w:t>取得国资主管</w:t>
      </w:r>
      <w:proofErr w:type="gramEnd"/>
      <w:r w:rsidR="00936845" w:rsidRPr="002F455B">
        <w:rPr>
          <w:rFonts w:ascii="Times New Roman" w:hAnsi="Times New Roman" w:hint="eastAsia"/>
          <w:sz w:val="24"/>
          <w:szCs w:val="28"/>
        </w:rPr>
        <w:t>部门的批准、就股权估值结果尚待履行相应国资监管手续、尚需完成</w:t>
      </w:r>
      <w:proofErr w:type="gramStart"/>
      <w:r w:rsidR="00936845" w:rsidRPr="002F455B">
        <w:rPr>
          <w:rFonts w:ascii="Times New Roman" w:hAnsi="Times New Roman" w:hint="eastAsia"/>
          <w:sz w:val="24"/>
          <w:szCs w:val="28"/>
        </w:rPr>
        <w:t>安徽省发改委</w:t>
      </w:r>
      <w:proofErr w:type="gramEnd"/>
      <w:r w:rsidR="00936845" w:rsidRPr="002F455B">
        <w:rPr>
          <w:rFonts w:ascii="Times New Roman" w:hAnsi="Times New Roman" w:hint="eastAsia"/>
          <w:sz w:val="24"/>
          <w:szCs w:val="28"/>
        </w:rPr>
        <w:t>、商务厅等中国政府部门审批</w:t>
      </w:r>
      <w:r w:rsidR="0052144C">
        <w:rPr>
          <w:rFonts w:ascii="Times New Roman" w:hAnsi="Times New Roman" w:hint="eastAsia"/>
          <w:sz w:val="24"/>
          <w:szCs w:val="28"/>
        </w:rPr>
        <w:t>；</w:t>
      </w:r>
      <w:r w:rsidR="00936845" w:rsidRPr="002F455B">
        <w:rPr>
          <w:rFonts w:ascii="Times New Roman" w:hAnsi="Times New Roman" w:hint="eastAsia"/>
          <w:sz w:val="24"/>
          <w:szCs w:val="28"/>
        </w:rPr>
        <w:t>技术交易</w:t>
      </w:r>
      <w:r w:rsidR="0052144C">
        <w:rPr>
          <w:rFonts w:ascii="Times New Roman" w:hAnsi="Times New Roman" w:hint="eastAsia"/>
          <w:sz w:val="24"/>
          <w:szCs w:val="28"/>
        </w:rPr>
        <w:t>及股权</w:t>
      </w:r>
      <w:r w:rsidR="0058592C">
        <w:rPr>
          <w:rFonts w:ascii="Times New Roman" w:hAnsi="Times New Roman" w:hint="eastAsia"/>
          <w:sz w:val="24"/>
          <w:szCs w:val="28"/>
        </w:rPr>
        <w:t>交易</w:t>
      </w:r>
      <w:r w:rsidR="00936845" w:rsidRPr="002F455B">
        <w:rPr>
          <w:rFonts w:ascii="Times New Roman" w:hAnsi="Times New Roman" w:hint="eastAsia"/>
          <w:sz w:val="24"/>
          <w:szCs w:val="28"/>
        </w:rPr>
        <w:t>尚需获得意大利政府有关部门审批。</w:t>
      </w:r>
    </w:p>
    <w:p w:rsidR="00290997" w:rsidRPr="002F455B" w:rsidRDefault="00290997" w:rsidP="00290997">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b/>
          <w:bCs/>
          <w:sz w:val="24"/>
          <w:szCs w:val="32"/>
        </w:rPr>
        <w:t>二、</w:t>
      </w:r>
      <w:r w:rsidR="00B9402A" w:rsidRPr="002F455B">
        <w:rPr>
          <w:rFonts w:ascii="Times New Roman" w:hAnsi="Times New Roman" w:hint="eastAsia"/>
          <w:b/>
          <w:bCs/>
          <w:sz w:val="24"/>
          <w:szCs w:val="32"/>
        </w:rPr>
        <w:t>关联人基本</w:t>
      </w:r>
      <w:r w:rsidRPr="002F455B">
        <w:rPr>
          <w:rFonts w:ascii="Times New Roman" w:hAnsi="Times New Roman" w:hint="eastAsia"/>
          <w:b/>
          <w:bCs/>
          <w:sz w:val="24"/>
          <w:szCs w:val="32"/>
        </w:rPr>
        <w:t>情况</w:t>
      </w:r>
    </w:p>
    <w:p w:rsidR="00B9402A" w:rsidRPr="002F455B" w:rsidRDefault="00B9402A" w:rsidP="00EA6D9B">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（一）关联关系说明</w:t>
      </w:r>
    </w:p>
    <w:p w:rsidR="00B9402A" w:rsidRPr="002F455B" w:rsidRDefault="00B9402A" w:rsidP="00EA6D9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系对公司有重大影响的参股公司，且公司董事、总经理游玮担任</w:t>
      </w: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董事。根据《上海证券交易所科创板股票上市规则》的规定，</w:t>
      </w: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系公司的关联法人。</w:t>
      </w:r>
    </w:p>
    <w:p w:rsidR="00B9402A" w:rsidRPr="002F455B" w:rsidRDefault="00B9402A" w:rsidP="00EA6D9B">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（二）关联人情况说明</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46"/>
        <w:gridCol w:w="7600"/>
      </w:tblGrid>
      <w:tr w:rsidR="002F455B" w:rsidRPr="002F455B" w:rsidTr="00EA6D9B">
        <w:trPr>
          <w:trHeight w:val="340"/>
        </w:trPr>
        <w:tc>
          <w:tcPr>
            <w:tcW w:w="845" w:type="pct"/>
            <w:vAlign w:val="center"/>
          </w:tcPr>
          <w:p w:rsidR="00B9402A" w:rsidRPr="002F455B" w:rsidRDefault="00B9402A" w:rsidP="00454550">
            <w:pPr>
              <w:widowControl/>
              <w:jc w:val="center"/>
              <w:rPr>
                <w:rFonts w:ascii="Times New Roman" w:hAnsi="Times New Roman"/>
                <w:b/>
                <w:kern w:val="0"/>
              </w:rPr>
            </w:pPr>
            <w:r w:rsidRPr="002F455B">
              <w:rPr>
                <w:rFonts w:ascii="Times New Roman" w:hAnsi="Times New Roman"/>
                <w:b/>
                <w:kern w:val="0"/>
              </w:rPr>
              <w:t>项目</w:t>
            </w:r>
          </w:p>
        </w:tc>
        <w:tc>
          <w:tcPr>
            <w:tcW w:w="4155" w:type="pct"/>
            <w:vAlign w:val="center"/>
          </w:tcPr>
          <w:p w:rsidR="00B9402A" w:rsidRPr="002F455B" w:rsidRDefault="00B9402A" w:rsidP="00454550">
            <w:pPr>
              <w:widowControl/>
              <w:jc w:val="center"/>
              <w:rPr>
                <w:rFonts w:ascii="Times New Roman" w:hAnsi="Times New Roman"/>
                <w:b/>
                <w:kern w:val="0"/>
              </w:rPr>
            </w:pPr>
            <w:r w:rsidRPr="002F455B">
              <w:rPr>
                <w:rFonts w:ascii="Times New Roman" w:hAnsi="Times New Roman"/>
                <w:b/>
                <w:kern w:val="0"/>
              </w:rPr>
              <w:t>基本情况</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公司名称</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ROBOX S.p.A.</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成立时间</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1975</w:t>
            </w:r>
            <w:r w:rsidRPr="002F455B">
              <w:rPr>
                <w:rFonts w:ascii="Times New Roman" w:hAnsi="Times New Roman"/>
                <w:kern w:val="0"/>
              </w:rPr>
              <w:t>年</w:t>
            </w:r>
            <w:r w:rsidRPr="002F455B">
              <w:rPr>
                <w:rFonts w:ascii="Times New Roman" w:hAnsi="Times New Roman"/>
                <w:kern w:val="0"/>
              </w:rPr>
              <w:t>2</w:t>
            </w:r>
            <w:r w:rsidRPr="002F455B">
              <w:rPr>
                <w:rFonts w:ascii="Times New Roman" w:hAnsi="Times New Roman"/>
                <w:kern w:val="0"/>
              </w:rPr>
              <w:t>月</w:t>
            </w:r>
            <w:r w:rsidRPr="002F455B">
              <w:rPr>
                <w:rFonts w:ascii="Times New Roman" w:hAnsi="Times New Roman"/>
                <w:kern w:val="0"/>
              </w:rPr>
              <w:t>18</w:t>
            </w:r>
            <w:r w:rsidRPr="002F455B">
              <w:rPr>
                <w:rFonts w:ascii="Times New Roman" w:hAnsi="Times New Roman"/>
                <w:kern w:val="0"/>
              </w:rPr>
              <w:t>日</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注册登记编号</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NO-132827</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注册资本</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119.81872</w:t>
            </w:r>
            <w:r w:rsidRPr="002F455B">
              <w:rPr>
                <w:rFonts w:ascii="Times New Roman" w:hAnsi="Times New Roman"/>
                <w:kern w:val="0"/>
              </w:rPr>
              <w:t>万欧元</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实收资本</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119.81872</w:t>
            </w:r>
            <w:r w:rsidRPr="002F455B">
              <w:rPr>
                <w:rFonts w:ascii="Times New Roman" w:hAnsi="Times New Roman"/>
                <w:kern w:val="0"/>
              </w:rPr>
              <w:t>万欧元</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注册地</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Via Sempione 82</w:t>
            </w:r>
            <w:r w:rsidRPr="002F455B">
              <w:rPr>
                <w:rFonts w:ascii="Times New Roman" w:hAnsi="Times New Roman"/>
                <w:kern w:val="0"/>
              </w:rPr>
              <w:t>，</w:t>
            </w:r>
            <w:proofErr w:type="spellStart"/>
            <w:r w:rsidRPr="002F455B">
              <w:rPr>
                <w:rFonts w:ascii="Times New Roman" w:hAnsi="Times New Roman"/>
                <w:kern w:val="0"/>
              </w:rPr>
              <w:t>Castelletto</w:t>
            </w:r>
            <w:proofErr w:type="spellEnd"/>
            <w:r w:rsidRPr="002F455B">
              <w:rPr>
                <w:rFonts w:ascii="Times New Roman" w:hAnsi="Times New Roman"/>
                <w:kern w:val="0"/>
              </w:rPr>
              <w:t xml:space="preserve"> </w:t>
            </w:r>
            <w:proofErr w:type="spellStart"/>
            <w:r w:rsidRPr="002F455B">
              <w:rPr>
                <w:rFonts w:ascii="Times New Roman" w:hAnsi="Times New Roman"/>
                <w:kern w:val="0"/>
              </w:rPr>
              <w:t>Sopra</w:t>
            </w:r>
            <w:proofErr w:type="spellEnd"/>
            <w:r w:rsidRPr="002F455B">
              <w:rPr>
                <w:rFonts w:ascii="Times New Roman" w:hAnsi="Times New Roman"/>
                <w:kern w:val="0"/>
              </w:rPr>
              <w:t xml:space="preserve"> Ticino(NO)</w:t>
            </w:r>
            <w:r w:rsidRPr="002F455B">
              <w:rPr>
                <w:rFonts w:ascii="Times New Roman" w:hAnsi="Times New Roman"/>
                <w:kern w:val="0"/>
              </w:rPr>
              <w:t>，意大利皮埃蒙特大区</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主要生产经营地</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Via Sempione 82</w:t>
            </w:r>
            <w:r w:rsidRPr="002F455B">
              <w:rPr>
                <w:rFonts w:ascii="Times New Roman" w:hAnsi="Times New Roman"/>
                <w:kern w:val="0"/>
              </w:rPr>
              <w:t>，</w:t>
            </w:r>
            <w:proofErr w:type="spellStart"/>
            <w:r w:rsidRPr="002F455B">
              <w:rPr>
                <w:rFonts w:ascii="Times New Roman" w:hAnsi="Times New Roman"/>
                <w:kern w:val="0"/>
              </w:rPr>
              <w:t>Castelletto</w:t>
            </w:r>
            <w:proofErr w:type="spellEnd"/>
            <w:r w:rsidRPr="002F455B">
              <w:rPr>
                <w:rFonts w:ascii="Times New Roman" w:hAnsi="Times New Roman"/>
                <w:kern w:val="0"/>
              </w:rPr>
              <w:t xml:space="preserve"> </w:t>
            </w:r>
            <w:proofErr w:type="spellStart"/>
            <w:r w:rsidRPr="002F455B">
              <w:rPr>
                <w:rFonts w:ascii="Times New Roman" w:hAnsi="Times New Roman"/>
                <w:kern w:val="0"/>
              </w:rPr>
              <w:t>Sopra</w:t>
            </w:r>
            <w:proofErr w:type="spellEnd"/>
            <w:r w:rsidRPr="002F455B">
              <w:rPr>
                <w:rFonts w:ascii="Times New Roman" w:hAnsi="Times New Roman"/>
                <w:kern w:val="0"/>
              </w:rPr>
              <w:t xml:space="preserve"> Ticino(NO)</w:t>
            </w:r>
            <w:r w:rsidRPr="002F455B">
              <w:rPr>
                <w:rFonts w:ascii="Times New Roman" w:hAnsi="Times New Roman"/>
                <w:kern w:val="0"/>
              </w:rPr>
              <w:t>，意大利皮埃蒙特大区</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主营业务</w:t>
            </w:r>
          </w:p>
        </w:tc>
        <w:tc>
          <w:tcPr>
            <w:tcW w:w="415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主营业务为机器人运动控制器和驱动器的生产和销售，为机器人运动控制平台研发和技术支持。</w:t>
            </w:r>
          </w:p>
        </w:tc>
      </w:tr>
      <w:tr w:rsidR="002F455B" w:rsidRPr="002F455B" w:rsidTr="00EA6D9B">
        <w:trPr>
          <w:trHeight w:val="340"/>
        </w:trPr>
        <w:tc>
          <w:tcPr>
            <w:tcW w:w="845" w:type="pct"/>
            <w:vAlign w:val="center"/>
          </w:tcPr>
          <w:p w:rsidR="00B9402A" w:rsidRPr="002F455B" w:rsidRDefault="00B9402A" w:rsidP="00454550">
            <w:pPr>
              <w:widowControl/>
              <w:rPr>
                <w:rFonts w:ascii="Times New Roman" w:hAnsi="Times New Roman"/>
                <w:kern w:val="0"/>
              </w:rPr>
            </w:pPr>
            <w:r w:rsidRPr="002F455B">
              <w:rPr>
                <w:rFonts w:ascii="Times New Roman" w:hAnsi="Times New Roman"/>
                <w:kern w:val="0"/>
              </w:rPr>
              <w:t>与公司主营业务的关系</w:t>
            </w:r>
          </w:p>
        </w:tc>
        <w:tc>
          <w:tcPr>
            <w:tcW w:w="4155" w:type="pct"/>
            <w:vAlign w:val="center"/>
          </w:tcPr>
          <w:p w:rsidR="00B9402A" w:rsidRDefault="00B9402A" w:rsidP="00454550">
            <w:pPr>
              <w:widowControl/>
              <w:rPr>
                <w:rFonts w:ascii="Times New Roman" w:hAnsi="Times New Roman"/>
                <w:kern w:val="0"/>
              </w:rPr>
            </w:pPr>
            <w:r w:rsidRPr="002F455B">
              <w:rPr>
                <w:rFonts w:ascii="Times New Roman" w:hAnsi="Times New Roman"/>
                <w:kern w:val="0"/>
              </w:rPr>
              <w:t>公司与</w:t>
            </w:r>
            <w:r w:rsidRPr="002F455B">
              <w:rPr>
                <w:rFonts w:ascii="Times New Roman" w:hAnsi="Times New Roman"/>
                <w:kern w:val="0"/>
              </w:rPr>
              <w:t>ROBOX</w:t>
            </w:r>
            <w:r w:rsidRPr="002F455B">
              <w:rPr>
                <w:rFonts w:ascii="Times New Roman" w:hAnsi="Times New Roman"/>
                <w:kern w:val="0"/>
              </w:rPr>
              <w:t>存在销售和采购劳务或者产品的日常关联交易（详见公司在上海证券交易所网站披露的《埃夫特智能装备股份有限公司关于预计</w:t>
            </w:r>
            <w:r w:rsidRPr="002F455B">
              <w:rPr>
                <w:rFonts w:ascii="Times New Roman" w:hAnsi="Times New Roman"/>
                <w:kern w:val="0"/>
              </w:rPr>
              <w:t>2021</w:t>
            </w:r>
            <w:r w:rsidRPr="002F455B">
              <w:rPr>
                <w:rFonts w:ascii="Times New Roman" w:hAnsi="Times New Roman"/>
                <w:kern w:val="0"/>
              </w:rPr>
              <w:t>年度日常关联交易及对</w:t>
            </w:r>
            <w:r w:rsidRPr="002F455B">
              <w:rPr>
                <w:rFonts w:ascii="Times New Roman" w:hAnsi="Times New Roman"/>
                <w:kern w:val="0"/>
              </w:rPr>
              <w:t>2020</w:t>
            </w:r>
            <w:r w:rsidRPr="002F455B">
              <w:rPr>
                <w:rFonts w:ascii="Times New Roman" w:hAnsi="Times New Roman"/>
                <w:kern w:val="0"/>
              </w:rPr>
              <w:t>年关联交易予以确认的公告》公告号：</w:t>
            </w:r>
            <w:r w:rsidRPr="002F455B">
              <w:rPr>
                <w:rFonts w:ascii="Times New Roman" w:hAnsi="Times New Roman"/>
                <w:kern w:val="0"/>
              </w:rPr>
              <w:t>2021-009</w:t>
            </w:r>
            <w:r w:rsidRPr="002F455B">
              <w:rPr>
                <w:rFonts w:ascii="Times New Roman" w:hAnsi="Times New Roman"/>
                <w:kern w:val="0"/>
              </w:rPr>
              <w:t>）</w:t>
            </w:r>
            <w:r w:rsidR="0052144C">
              <w:rPr>
                <w:rFonts w:ascii="Times New Roman" w:hAnsi="Times New Roman"/>
                <w:kern w:val="0"/>
              </w:rPr>
              <w:t>。</w:t>
            </w:r>
          </w:p>
          <w:p w:rsidR="0052144C" w:rsidRPr="002F455B" w:rsidRDefault="0052144C" w:rsidP="00454550">
            <w:pPr>
              <w:widowControl/>
              <w:rPr>
                <w:rFonts w:ascii="Times New Roman" w:hAnsi="Times New Roman"/>
                <w:kern w:val="0"/>
              </w:rPr>
            </w:pPr>
            <w:r w:rsidRPr="0052144C">
              <w:rPr>
                <w:rFonts w:ascii="Times New Roman" w:hAnsi="Times New Roman" w:hint="eastAsia"/>
                <w:kern w:val="0"/>
              </w:rPr>
              <w:t>同时，</w:t>
            </w:r>
            <w:r w:rsidRPr="0052144C">
              <w:rPr>
                <w:rFonts w:ascii="Times New Roman" w:hAnsi="Times New Roman" w:hint="eastAsia"/>
                <w:kern w:val="0"/>
              </w:rPr>
              <w:t>ROBOX</w:t>
            </w:r>
            <w:r w:rsidRPr="0052144C">
              <w:rPr>
                <w:rFonts w:ascii="Times New Roman" w:hAnsi="Times New Roman" w:hint="eastAsia"/>
                <w:kern w:val="0"/>
              </w:rPr>
              <w:t>为公司控股子公司</w:t>
            </w:r>
            <w:proofErr w:type="gramStart"/>
            <w:r w:rsidRPr="0052144C">
              <w:rPr>
                <w:rFonts w:ascii="Times New Roman" w:hAnsi="Times New Roman" w:hint="eastAsia"/>
                <w:kern w:val="0"/>
              </w:rPr>
              <w:t>瑞博思</w:t>
            </w:r>
            <w:proofErr w:type="gramEnd"/>
            <w:r w:rsidRPr="0052144C">
              <w:rPr>
                <w:rFonts w:ascii="Times New Roman" w:hAnsi="Times New Roman" w:hint="eastAsia"/>
                <w:kern w:val="0"/>
              </w:rPr>
              <w:t>（芜湖）智能控制系统有限公司</w:t>
            </w:r>
            <w:r w:rsidRPr="0052144C">
              <w:rPr>
                <w:rFonts w:ascii="Times New Roman" w:hAnsi="Times New Roman" w:hint="eastAsia"/>
                <w:kern w:val="0"/>
              </w:rPr>
              <w:t>40%</w:t>
            </w:r>
            <w:r w:rsidRPr="0052144C">
              <w:rPr>
                <w:rFonts w:ascii="Times New Roman" w:hAnsi="Times New Roman" w:hint="eastAsia"/>
                <w:kern w:val="0"/>
              </w:rPr>
              <w:t>的</w:t>
            </w:r>
            <w:r w:rsidRPr="0052144C">
              <w:rPr>
                <w:rFonts w:ascii="Times New Roman" w:hAnsi="Times New Roman" w:hint="eastAsia"/>
                <w:kern w:val="0"/>
              </w:rPr>
              <w:lastRenderedPageBreak/>
              <w:t>股东。</w:t>
            </w:r>
          </w:p>
        </w:tc>
      </w:tr>
    </w:tbl>
    <w:p w:rsidR="00B9402A" w:rsidRPr="002F455B" w:rsidRDefault="00B9402A" w:rsidP="00EA6D9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lastRenderedPageBreak/>
        <w:t>除上述关联关系外，</w:t>
      </w:r>
      <w:r w:rsidRPr="002F455B">
        <w:rPr>
          <w:rFonts w:ascii="Times New Roman" w:hAnsi="Times New Roman"/>
          <w:sz w:val="24"/>
          <w:szCs w:val="28"/>
        </w:rPr>
        <w:t>ROBOX</w:t>
      </w:r>
      <w:r w:rsidRPr="002F455B">
        <w:rPr>
          <w:rFonts w:ascii="Times New Roman" w:hAnsi="Times New Roman" w:hint="eastAsia"/>
          <w:sz w:val="24"/>
          <w:szCs w:val="28"/>
        </w:rPr>
        <w:t>与公司不存在其他产权、业务、资产、债权、债务、人员等方面的关系。</w:t>
      </w:r>
    </w:p>
    <w:p w:rsidR="00883136" w:rsidRPr="002F455B" w:rsidRDefault="00883136" w:rsidP="00883136">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hint="eastAsia"/>
          <w:b/>
          <w:bCs/>
          <w:sz w:val="24"/>
          <w:szCs w:val="32"/>
        </w:rPr>
        <w:t>三、本次交易标的基本情况</w:t>
      </w:r>
    </w:p>
    <w:p w:rsidR="0052144C" w:rsidRPr="002F455B" w:rsidRDefault="0052144C" w:rsidP="0052144C">
      <w:pPr>
        <w:spacing w:beforeLines="50" w:before="156" w:line="360" w:lineRule="auto"/>
        <w:ind w:firstLineChars="200" w:firstLine="482"/>
        <w:outlineLvl w:val="1"/>
        <w:rPr>
          <w:rFonts w:ascii="Times New Roman" w:hAnsi="Times New Roman"/>
          <w:b/>
          <w:sz w:val="24"/>
          <w:szCs w:val="28"/>
        </w:rPr>
      </w:pPr>
      <w:r>
        <w:rPr>
          <w:rFonts w:ascii="Times New Roman" w:hAnsi="Times New Roman" w:hint="eastAsia"/>
          <w:b/>
          <w:sz w:val="24"/>
          <w:szCs w:val="28"/>
        </w:rPr>
        <w:t>（一</w:t>
      </w:r>
      <w:r w:rsidRPr="002F455B">
        <w:rPr>
          <w:rFonts w:ascii="Times New Roman" w:hAnsi="Times New Roman" w:hint="eastAsia"/>
          <w:b/>
          <w:sz w:val="24"/>
          <w:szCs w:val="28"/>
        </w:rPr>
        <w:t>）拟与参股公司</w:t>
      </w:r>
      <w:r w:rsidRPr="002F455B">
        <w:rPr>
          <w:rFonts w:ascii="Times New Roman" w:hAnsi="Times New Roman" w:hint="eastAsia"/>
          <w:b/>
          <w:sz w:val="24"/>
          <w:szCs w:val="28"/>
        </w:rPr>
        <w:t>R</w:t>
      </w:r>
      <w:r w:rsidRPr="002F455B">
        <w:rPr>
          <w:rFonts w:ascii="Times New Roman" w:hAnsi="Times New Roman"/>
          <w:b/>
          <w:sz w:val="24"/>
          <w:szCs w:val="28"/>
        </w:rPr>
        <w:t>OBOX</w:t>
      </w:r>
      <w:r w:rsidRPr="002F455B">
        <w:rPr>
          <w:rFonts w:ascii="Times New Roman" w:hAnsi="Times New Roman" w:hint="eastAsia"/>
          <w:b/>
          <w:sz w:val="24"/>
          <w:szCs w:val="28"/>
        </w:rPr>
        <w:t>签订技术许可协议暨关联交易事项</w:t>
      </w:r>
    </w:p>
    <w:p w:rsidR="0052144C" w:rsidRPr="002F455B" w:rsidRDefault="0052144C" w:rsidP="0052144C">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1</w:t>
      </w:r>
      <w:r w:rsidRPr="002F455B">
        <w:rPr>
          <w:rFonts w:ascii="Times New Roman" w:hAnsi="Times New Roman"/>
          <w:b/>
          <w:sz w:val="24"/>
          <w:szCs w:val="28"/>
        </w:rPr>
        <w:t>、交易标的</w:t>
      </w:r>
    </w:p>
    <w:p w:rsidR="0052144C" w:rsidRPr="002F455B" w:rsidRDefault="0052144C" w:rsidP="0052144C">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ROBOX</w:t>
      </w:r>
      <w:r w:rsidRPr="002F455B">
        <w:rPr>
          <w:rFonts w:ascii="Times New Roman" w:hAnsi="Times New Roman"/>
          <w:sz w:val="24"/>
          <w:szCs w:val="28"/>
        </w:rPr>
        <w:t>根据多年在控制器方面积累的技术经验，研究开发的技术源码，包括：</w:t>
      </w:r>
      <w:r w:rsidRPr="002F455B">
        <w:rPr>
          <w:rFonts w:ascii="Times New Roman" w:hAnsi="Times New Roman"/>
          <w:sz w:val="24"/>
          <w:szCs w:val="28"/>
        </w:rPr>
        <w:t>“RTM</w:t>
      </w:r>
      <w:r w:rsidRPr="002F455B">
        <w:rPr>
          <w:rFonts w:ascii="Times New Roman" w:hAnsi="Times New Roman"/>
          <w:sz w:val="24"/>
          <w:szCs w:val="28"/>
        </w:rPr>
        <w:t>和</w:t>
      </w:r>
      <w:r w:rsidRPr="002F455B">
        <w:rPr>
          <w:rFonts w:ascii="Times New Roman" w:hAnsi="Times New Roman"/>
          <w:sz w:val="24"/>
          <w:szCs w:val="28"/>
        </w:rPr>
        <w:t>OB</w:t>
      </w:r>
      <w:r w:rsidRPr="002F455B">
        <w:rPr>
          <w:rFonts w:ascii="Times New Roman" w:hAnsi="Times New Roman"/>
          <w:sz w:val="24"/>
          <w:szCs w:val="28"/>
        </w:rPr>
        <w:t>源代码及文件</w:t>
      </w:r>
      <w:r w:rsidRPr="002F455B">
        <w:rPr>
          <w:rFonts w:ascii="Times New Roman" w:hAnsi="Times New Roman"/>
          <w:sz w:val="24"/>
          <w:szCs w:val="28"/>
        </w:rPr>
        <w:t>”“RPE</w:t>
      </w:r>
      <w:r w:rsidRPr="002F455B">
        <w:rPr>
          <w:rFonts w:ascii="Times New Roman" w:hAnsi="Times New Roman"/>
          <w:sz w:val="24"/>
          <w:szCs w:val="28"/>
        </w:rPr>
        <w:t>和</w:t>
      </w:r>
      <w:r w:rsidRPr="002F455B">
        <w:rPr>
          <w:rFonts w:ascii="Times New Roman" w:hAnsi="Times New Roman"/>
          <w:sz w:val="24"/>
          <w:szCs w:val="28"/>
        </w:rPr>
        <w:t>RPL</w:t>
      </w:r>
      <w:r w:rsidRPr="002F455B">
        <w:rPr>
          <w:rFonts w:ascii="Times New Roman" w:hAnsi="Times New Roman"/>
          <w:sz w:val="24"/>
          <w:szCs w:val="28"/>
        </w:rPr>
        <w:t>源代码及文件</w:t>
      </w:r>
      <w:r w:rsidRPr="002F455B">
        <w:rPr>
          <w:rFonts w:ascii="Times New Roman" w:hAnsi="Times New Roman"/>
          <w:sz w:val="24"/>
          <w:szCs w:val="28"/>
        </w:rPr>
        <w:t>”“RTE</w:t>
      </w:r>
      <w:r w:rsidRPr="002F455B">
        <w:rPr>
          <w:rFonts w:ascii="Times New Roman" w:hAnsi="Times New Roman"/>
          <w:sz w:val="24"/>
          <w:szCs w:val="28"/>
        </w:rPr>
        <w:t>源代码及文件</w:t>
      </w:r>
      <w:r w:rsidRPr="002F455B">
        <w:rPr>
          <w:rFonts w:ascii="Times New Roman" w:hAnsi="Times New Roman"/>
          <w:sz w:val="24"/>
          <w:szCs w:val="28"/>
        </w:rPr>
        <w:t>”</w:t>
      </w:r>
      <w:r w:rsidRPr="002F455B">
        <w:rPr>
          <w:rFonts w:ascii="Times New Roman" w:hAnsi="Times New Roman"/>
          <w:sz w:val="24"/>
          <w:szCs w:val="28"/>
        </w:rPr>
        <w:t>。本次</w:t>
      </w:r>
      <w:r>
        <w:rPr>
          <w:rFonts w:ascii="Times New Roman" w:hAnsi="Times New Roman"/>
          <w:sz w:val="24"/>
          <w:szCs w:val="28"/>
        </w:rPr>
        <w:t>转移及</w:t>
      </w:r>
      <w:r w:rsidRPr="002F455B">
        <w:rPr>
          <w:rFonts w:ascii="Times New Roman" w:hAnsi="Times New Roman"/>
          <w:sz w:val="24"/>
          <w:szCs w:val="28"/>
        </w:rPr>
        <w:t>授权的技术包括与前述技术许可相关的培训、支持文件、代码翻译、和所有相关</w:t>
      </w:r>
      <w:r w:rsidRPr="002F455B">
        <w:rPr>
          <w:rFonts w:ascii="Times New Roman" w:hAnsi="Times New Roman"/>
          <w:sz w:val="24"/>
          <w:szCs w:val="28"/>
        </w:rPr>
        <w:t>KNOW-HOW</w:t>
      </w:r>
      <w:r w:rsidRPr="002F455B">
        <w:rPr>
          <w:rFonts w:ascii="Times New Roman" w:hAnsi="Times New Roman"/>
          <w:sz w:val="24"/>
          <w:szCs w:val="28"/>
        </w:rPr>
        <w:t>使技术许可协议可有效执行。</w:t>
      </w:r>
    </w:p>
    <w:p w:rsidR="0052144C" w:rsidRPr="002F455B" w:rsidRDefault="0052144C" w:rsidP="0052144C">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2</w:t>
      </w:r>
      <w:r w:rsidRPr="002F455B">
        <w:rPr>
          <w:rFonts w:ascii="Times New Roman" w:hAnsi="Times New Roman"/>
          <w:b/>
          <w:sz w:val="24"/>
          <w:szCs w:val="28"/>
        </w:rPr>
        <w:t>、权属情况</w:t>
      </w:r>
    </w:p>
    <w:p w:rsidR="0052144C" w:rsidRPr="002F455B" w:rsidRDefault="0052144C" w:rsidP="0052144C">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该交易标的为</w:t>
      </w:r>
      <w:r w:rsidRPr="002F455B">
        <w:rPr>
          <w:rFonts w:ascii="Times New Roman" w:hAnsi="Times New Roman"/>
          <w:sz w:val="24"/>
          <w:szCs w:val="28"/>
        </w:rPr>
        <w:t>ROBOX</w:t>
      </w:r>
      <w:r w:rsidRPr="002F455B">
        <w:rPr>
          <w:rFonts w:ascii="Times New Roman" w:hAnsi="Times New Roman"/>
          <w:sz w:val="24"/>
          <w:szCs w:val="28"/>
        </w:rPr>
        <w:t>授予公司的非</w:t>
      </w:r>
      <w:r w:rsidRPr="002F455B">
        <w:rPr>
          <w:rFonts w:ascii="Times New Roman" w:hAnsi="Times New Roman" w:hint="eastAsia"/>
          <w:sz w:val="24"/>
          <w:szCs w:val="28"/>
        </w:rPr>
        <w:t>排他性</w:t>
      </w:r>
      <w:r w:rsidRPr="002F455B">
        <w:rPr>
          <w:rFonts w:ascii="Times New Roman" w:hAnsi="Times New Roman"/>
          <w:sz w:val="24"/>
          <w:szCs w:val="28"/>
        </w:rPr>
        <w:t>、</w:t>
      </w:r>
      <w:r w:rsidRPr="002F455B">
        <w:rPr>
          <w:rFonts w:ascii="Times New Roman" w:hAnsi="Times New Roman" w:hint="eastAsia"/>
          <w:sz w:val="24"/>
          <w:szCs w:val="28"/>
        </w:rPr>
        <w:t>永久的</w:t>
      </w:r>
      <w:r w:rsidRPr="002F455B">
        <w:rPr>
          <w:rFonts w:ascii="Times New Roman" w:hAnsi="Times New Roman"/>
          <w:sz w:val="24"/>
          <w:szCs w:val="28"/>
        </w:rPr>
        <w:t>、不可撤销</w:t>
      </w:r>
      <w:r w:rsidRPr="002F455B">
        <w:rPr>
          <w:rFonts w:ascii="Times New Roman" w:hAnsi="Times New Roman" w:hint="eastAsia"/>
          <w:sz w:val="24"/>
          <w:szCs w:val="28"/>
        </w:rPr>
        <w:t>的、全球性、</w:t>
      </w:r>
      <w:r w:rsidRPr="002F455B">
        <w:rPr>
          <w:rFonts w:ascii="Times New Roman" w:hAnsi="Times New Roman"/>
          <w:sz w:val="24"/>
          <w:szCs w:val="28"/>
        </w:rPr>
        <w:t>不可转</w:t>
      </w:r>
      <w:r w:rsidRPr="002F455B">
        <w:rPr>
          <w:rFonts w:ascii="Times New Roman" w:hAnsi="Times New Roman" w:hint="eastAsia"/>
          <w:sz w:val="24"/>
          <w:szCs w:val="28"/>
        </w:rPr>
        <w:t>让的、可收取版税</w:t>
      </w:r>
      <w:r w:rsidRPr="002F455B">
        <w:rPr>
          <w:rFonts w:ascii="Times New Roman" w:hAnsi="Times New Roman"/>
          <w:sz w:val="24"/>
          <w:szCs w:val="28"/>
        </w:rPr>
        <w:t>的许可。</w:t>
      </w:r>
    </w:p>
    <w:p w:rsidR="0052144C" w:rsidRPr="002F455B" w:rsidRDefault="0052144C" w:rsidP="0052144C">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3</w:t>
      </w:r>
      <w:r w:rsidRPr="002F455B">
        <w:rPr>
          <w:rFonts w:ascii="Times New Roman" w:hAnsi="Times New Roman" w:hint="eastAsia"/>
          <w:b/>
          <w:sz w:val="24"/>
          <w:szCs w:val="28"/>
        </w:rPr>
        <w:t>、技术交易的定价政策、定价依据及合理性分析</w:t>
      </w:r>
    </w:p>
    <w:p w:rsidR="0052144C" w:rsidRPr="002F455B" w:rsidRDefault="0052144C" w:rsidP="0052144C">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公司将就技术标的</w:t>
      </w:r>
      <w:proofErr w:type="gramStart"/>
      <w:r>
        <w:rPr>
          <w:rFonts w:ascii="Times New Roman" w:hAnsi="Times New Roman" w:hint="eastAsia"/>
          <w:sz w:val="24"/>
          <w:szCs w:val="28"/>
        </w:rPr>
        <w:t>的</w:t>
      </w:r>
      <w:proofErr w:type="gramEnd"/>
      <w:r>
        <w:rPr>
          <w:rFonts w:ascii="Times New Roman" w:hAnsi="Times New Roman" w:hint="eastAsia"/>
          <w:sz w:val="24"/>
          <w:szCs w:val="28"/>
        </w:rPr>
        <w:t>转移及</w:t>
      </w:r>
      <w:r w:rsidRPr="002F455B">
        <w:rPr>
          <w:rFonts w:ascii="Times New Roman" w:hAnsi="Times New Roman" w:hint="eastAsia"/>
          <w:sz w:val="24"/>
          <w:szCs w:val="28"/>
        </w:rPr>
        <w:t>授权支付</w:t>
      </w:r>
      <w:r w:rsidRPr="002F455B">
        <w:rPr>
          <w:rFonts w:ascii="Times New Roman" w:hAnsi="Times New Roman" w:hint="eastAsia"/>
          <w:sz w:val="24"/>
          <w:szCs w:val="28"/>
        </w:rPr>
        <w:t>ROBOX</w:t>
      </w:r>
      <w:r w:rsidRPr="002F455B">
        <w:rPr>
          <w:rFonts w:ascii="Times New Roman" w:hAnsi="Times New Roman"/>
          <w:sz w:val="24"/>
          <w:szCs w:val="28"/>
        </w:rPr>
        <w:t xml:space="preserve"> </w:t>
      </w:r>
      <w:r w:rsidRPr="002F455B">
        <w:rPr>
          <w:rFonts w:ascii="Times New Roman" w:hAnsi="Times New Roman" w:hint="eastAsia"/>
          <w:sz w:val="24"/>
          <w:szCs w:val="28"/>
        </w:rPr>
        <w:t>100</w:t>
      </w:r>
      <w:r w:rsidRPr="002F455B">
        <w:rPr>
          <w:rFonts w:ascii="Times New Roman" w:hAnsi="Times New Roman" w:hint="eastAsia"/>
          <w:sz w:val="24"/>
          <w:szCs w:val="28"/>
        </w:rPr>
        <w:t>万欧元的技术服务费。同时公司将在</w:t>
      </w:r>
      <w:r w:rsidRPr="002F455B">
        <w:rPr>
          <w:rFonts w:ascii="Times New Roman" w:hAnsi="Times New Roman" w:hint="eastAsia"/>
          <w:sz w:val="24"/>
          <w:szCs w:val="28"/>
        </w:rPr>
        <w:t>10</w:t>
      </w:r>
      <w:r w:rsidRPr="002F455B">
        <w:rPr>
          <w:rFonts w:ascii="Times New Roman" w:hAnsi="Times New Roman" w:hint="eastAsia"/>
          <w:sz w:val="24"/>
          <w:szCs w:val="28"/>
        </w:rPr>
        <w:t>年内基于机器人整机产量支付</w:t>
      </w:r>
      <w:r w:rsidRPr="002F455B">
        <w:rPr>
          <w:rFonts w:ascii="Times New Roman" w:hAnsi="Times New Roman" w:hint="eastAsia"/>
          <w:sz w:val="24"/>
          <w:szCs w:val="28"/>
        </w:rPr>
        <w:t>ROBOX</w:t>
      </w:r>
      <w:r w:rsidRPr="002F455B">
        <w:rPr>
          <w:rFonts w:ascii="Times New Roman" w:hAnsi="Times New Roman" w:hint="eastAsia"/>
          <w:sz w:val="24"/>
          <w:szCs w:val="28"/>
        </w:rPr>
        <w:t>特许权使用费。本次技术许可协议的定价主要参照公司对于</w:t>
      </w:r>
      <w:r w:rsidRPr="002F455B">
        <w:rPr>
          <w:rFonts w:ascii="Times New Roman" w:hAnsi="Times New Roman" w:hint="eastAsia"/>
          <w:sz w:val="24"/>
          <w:szCs w:val="28"/>
        </w:rPr>
        <w:t>ROBOX</w:t>
      </w:r>
      <w:r w:rsidRPr="002F455B">
        <w:rPr>
          <w:rFonts w:ascii="Times New Roman" w:hAnsi="Times New Roman" w:hint="eastAsia"/>
          <w:sz w:val="24"/>
          <w:szCs w:val="28"/>
        </w:rPr>
        <w:t>平台技术价值的专业判断并通过和</w:t>
      </w:r>
      <w:r w:rsidRPr="002F455B">
        <w:rPr>
          <w:rFonts w:ascii="Times New Roman" w:hAnsi="Times New Roman" w:hint="eastAsia"/>
          <w:sz w:val="24"/>
          <w:szCs w:val="28"/>
        </w:rPr>
        <w:t>ROBOX</w:t>
      </w:r>
      <w:r w:rsidRPr="002F455B">
        <w:rPr>
          <w:rFonts w:ascii="Times New Roman" w:hAnsi="Times New Roman" w:hint="eastAsia"/>
          <w:sz w:val="24"/>
          <w:szCs w:val="28"/>
        </w:rPr>
        <w:t>公司议价商定，定价公允。</w:t>
      </w:r>
    </w:p>
    <w:p w:rsidR="00883136" w:rsidRPr="002F455B" w:rsidRDefault="00883136" w:rsidP="00883136">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w:t>
      </w:r>
      <w:r w:rsidR="0052144C">
        <w:rPr>
          <w:rFonts w:ascii="Times New Roman" w:hAnsi="Times New Roman" w:hint="eastAsia"/>
          <w:b/>
          <w:sz w:val="24"/>
          <w:szCs w:val="28"/>
        </w:rPr>
        <w:t>二</w:t>
      </w:r>
      <w:r w:rsidRPr="002F455B">
        <w:rPr>
          <w:rFonts w:ascii="Times New Roman" w:hAnsi="Times New Roman" w:hint="eastAsia"/>
          <w:b/>
          <w:sz w:val="24"/>
          <w:szCs w:val="28"/>
        </w:rPr>
        <w:t>）拟收购参股公司</w:t>
      </w:r>
      <w:r w:rsidRPr="002F455B">
        <w:rPr>
          <w:rFonts w:ascii="Times New Roman" w:hAnsi="Times New Roman" w:hint="eastAsia"/>
          <w:b/>
          <w:sz w:val="24"/>
          <w:szCs w:val="28"/>
        </w:rPr>
        <w:t>R</w:t>
      </w:r>
      <w:r w:rsidRPr="002F455B">
        <w:rPr>
          <w:rFonts w:ascii="Times New Roman" w:hAnsi="Times New Roman"/>
          <w:b/>
          <w:sz w:val="24"/>
          <w:szCs w:val="28"/>
        </w:rPr>
        <w:t>OBOX 9</w:t>
      </w:r>
      <w:r w:rsidRPr="002F455B">
        <w:rPr>
          <w:rFonts w:ascii="Times New Roman" w:hAnsi="Times New Roman" w:hint="eastAsia"/>
          <w:b/>
          <w:sz w:val="24"/>
          <w:szCs w:val="28"/>
        </w:rPr>
        <w:t>%</w:t>
      </w:r>
      <w:r w:rsidRPr="002F455B">
        <w:rPr>
          <w:rFonts w:ascii="Times New Roman" w:hAnsi="Times New Roman" w:hint="eastAsia"/>
          <w:b/>
          <w:sz w:val="24"/>
          <w:szCs w:val="28"/>
        </w:rPr>
        <w:t>股权事项</w:t>
      </w:r>
    </w:p>
    <w:p w:rsidR="00883136" w:rsidRPr="002F455B" w:rsidRDefault="00883136" w:rsidP="00E21209">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1</w:t>
      </w:r>
      <w:r w:rsidRPr="002F455B">
        <w:rPr>
          <w:rFonts w:ascii="Times New Roman" w:hAnsi="Times New Roman" w:hint="eastAsia"/>
          <w:b/>
          <w:sz w:val="24"/>
          <w:szCs w:val="28"/>
        </w:rPr>
        <w:t>、标的公司基本情况</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546"/>
        <w:gridCol w:w="7600"/>
      </w:tblGrid>
      <w:tr w:rsidR="002F455B" w:rsidRPr="002F455B" w:rsidTr="00454550">
        <w:trPr>
          <w:trHeight w:val="340"/>
        </w:trPr>
        <w:tc>
          <w:tcPr>
            <w:tcW w:w="845" w:type="pct"/>
            <w:vAlign w:val="center"/>
          </w:tcPr>
          <w:p w:rsidR="0070207B" w:rsidRPr="002F455B" w:rsidRDefault="0070207B" w:rsidP="00454550">
            <w:pPr>
              <w:widowControl/>
              <w:jc w:val="center"/>
              <w:rPr>
                <w:rFonts w:ascii="Times New Roman" w:hAnsi="Times New Roman"/>
                <w:kern w:val="0"/>
              </w:rPr>
            </w:pPr>
            <w:r w:rsidRPr="002F455B">
              <w:rPr>
                <w:rFonts w:ascii="Times New Roman" w:hAnsi="Times New Roman"/>
                <w:kern w:val="0"/>
              </w:rPr>
              <w:t>项目</w:t>
            </w:r>
          </w:p>
        </w:tc>
        <w:tc>
          <w:tcPr>
            <w:tcW w:w="4155" w:type="pct"/>
            <w:vAlign w:val="center"/>
          </w:tcPr>
          <w:p w:rsidR="0070207B" w:rsidRPr="002F455B" w:rsidRDefault="0070207B" w:rsidP="00454550">
            <w:pPr>
              <w:widowControl/>
              <w:jc w:val="center"/>
              <w:rPr>
                <w:rFonts w:ascii="Times New Roman" w:hAnsi="Times New Roman"/>
                <w:kern w:val="0"/>
              </w:rPr>
            </w:pPr>
            <w:r w:rsidRPr="002F455B">
              <w:rPr>
                <w:rFonts w:ascii="Times New Roman" w:hAnsi="Times New Roman"/>
                <w:kern w:val="0"/>
              </w:rPr>
              <w:t>基本情况</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公司名称</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ROBOX S.p.A.</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成立时间</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1975</w:t>
            </w:r>
            <w:r w:rsidRPr="002F455B">
              <w:rPr>
                <w:rFonts w:ascii="Times New Roman" w:hAnsi="Times New Roman"/>
                <w:kern w:val="0"/>
              </w:rPr>
              <w:t>年</w:t>
            </w:r>
            <w:r w:rsidRPr="002F455B">
              <w:rPr>
                <w:rFonts w:ascii="Times New Roman" w:hAnsi="Times New Roman"/>
                <w:kern w:val="0"/>
              </w:rPr>
              <w:t>2</w:t>
            </w:r>
            <w:r w:rsidRPr="002F455B">
              <w:rPr>
                <w:rFonts w:ascii="Times New Roman" w:hAnsi="Times New Roman"/>
                <w:kern w:val="0"/>
              </w:rPr>
              <w:t>月</w:t>
            </w:r>
            <w:r w:rsidRPr="002F455B">
              <w:rPr>
                <w:rFonts w:ascii="Times New Roman" w:hAnsi="Times New Roman"/>
                <w:kern w:val="0"/>
              </w:rPr>
              <w:t>18</w:t>
            </w:r>
            <w:r w:rsidRPr="002F455B">
              <w:rPr>
                <w:rFonts w:ascii="Times New Roman" w:hAnsi="Times New Roman"/>
                <w:kern w:val="0"/>
              </w:rPr>
              <w:t>日</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注册登记编号</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NO-132827</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注册资本</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119.81872</w:t>
            </w:r>
            <w:r w:rsidRPr="002F455B">
              <w:rPr>
                <w:rFonts w:ascii="Times New Roman" w:hAnsi="Times New Roman"/>
                <w:kern w:val="0"/>
              </w:rPr>
              <w:t>万欧元</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实收资本</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119.81872</w:t>
            </w:r>
            <w:r w:rsidRPr="002F455B">
              <w:rPr>
                <w:rFonts w:ascii="Times New Roman" w:hAnsi="Times New Roman"/>
                <w:kern w:val="0"/>
              </w:rPr>
              <w:t>万欧元</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注册地</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Via Sempione 82</w:t>
            </w:r>
            <w:r w:rsidRPr="002F455B">
              <w:rPr>
                <w:rFonts w:ascii="Times New Roman" w:hAnsi="Times New Roman"/>
                <w:kern w:val="0"/>
              </w:rPr>
              <w:t>，</w:t>
            </w:r>
            <w:proofErr w:type="spellStart"/>
            <w:r w:rsidRPr="002F455B">
              <w:rPr>
                <w:rFonts w:ascii="Times New Roman" w:hAnsi="Times New Roman"/>
                <w:kern w:val="0"/>
              </w:rPr>
              <w:t>Castelletto</w:t>
            </w:r>
            <w:proofErr w:type="spellEnd"/>
            <w:r w:rsidRPr="002F455B">
              <w:rPr>
                <w:rFonts w:ascii="Times New Roman" w:hAnsi="Times New Roman"/>
                <w:kern w:val="0"/>
              </w:rPr>
              <w:t xml:space="preserve"> </w:t>
            </w:r>
            <w:proofErr w:type="spellStart"/>
            <w:r w:rsidRPr="002F455B">
              <w:rPr>
                <w:rFonts w:ascii="Times New Roman" w:hAnsi="Times New Roman"/>
                <w:kern w:val="0"/>
              </w:rPr>
              <w:t>Sopra</w:t>
            </w:r>
            <w:proofErr w:type="spellEnd"/>
            <w:r w:rsidRPr="002F455B">
              <w:rPr>
                <w:rFonts w:ascii="Times New Roman" w:hAnsi="Times New Roman"/>
                <w:kern w:val="0"/>
              </w:rPr>
              <w:t xml:space="preserve"> Ticino(NO)</w:t>
            </w:r>
            <w:r w:rsidRPr="002F455B">
              <w:rPr>
                <w:rFonts w:ascii="Times New Roman" w:hAnsi="Times New Roman"/>
                <w:kern w:val="0"/>
              </w:rPr>
              <w:t>，意大利皮埃蒙特大区</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主要生产经营</w:t>
            </w:r>
            <w:r w:rsidRPr="002F455B">
              <w:rPr>
                <w:rFonts w:ascii="Times New Roman" w:hAnsi="Times New Roman"/>
                <w:kern w:val="0"/>
              </w:rPr>
              <w:lastRenderedPageBreak/>
              <w:t>地</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lastRenderedPageBreak/>
              <w:t>Via Sempione 82</w:t>
            </w:r>
            <w:r w:rsidRPr="002F455B">
              <w:rPr>
                <w:rFonts w:ascii="Times New Roman" w:hAnsi="Times New Roman"/>
                <w:kern w:val="0"/>
              </w:rPr>
              <w:t>，</w:t>
            </w:r>
            <w:proofErr w:type="spellStart"/>
            <w:r w:rsidRPr="002F455B">
              <w:rPr>
                <w:rFonts w:ascii="Times New Roman" w:hAnsi="Times New Roman"/>
                <w:kern w:val="0"/>
              </w:rPr>
              <w:t>Castelletto</w:t>
            </w:r>
            <w:proofErr w:type="spellEnd"/>
            <w:r w:rsidRPr="002F455B">
              <w:rPr>
                <w:rFonts w:ascii="Times New Roman" w:hAnsi="Times New Roman"/>
                <w:kern w:val="0"/>
              </w:rPr>
              <w:t xml:space="preserve"> </w:t>
            </w:r>
            <w:proofErr w:type="spellStart"/>
            <w:r w:rsidRPr="002F455B">
              <w:rPr>
                <w:rFonts w:ascii="Times New Roman" w:hAnsi="Times New Roman"/>
                <w:kern w:val="0"/>
              </w:rPr>
              <w:t>Sopra</w:t>
            </w:r>
            <w:proofErr w:type="spellEnd"/>
            <w:r w:rsidRPr="002F455B">
              <w:rPr>
                <w:rFonts w:ascii="Times New Roman" w:hAnsi="Times New Roman"/>
                <w:kern w:val="0"/>
              </w:rPr>
              <w:t xml:space="preserve"> Ticino(NO)</w:t>
            </w:r>
            <w:r w:rsidRPr="002F455B">
              <w:rPr>
                <w:rFonts w:ascii="Times New Roman" w:hAnsi="Times New Roman"/>
                <w:kern w:val="0"/>
              </w:rPr>
              <w:t>，意大利皮埃蒙特大区</w:t>
            </w:r>
          </w:p>
        </w:tc>
      </w:tr>
      <w:tr w:rsidR="002F455B" w:rsidRPr="002F455B" w:rsidTr="00454550">
        <w:trPr>
          <w:trHeight w:val="340"/>
        </w:trPr>
        <w:tc>
          <w:tcPr>
            <w:tcW w:w="84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lastRenderedPageBreak/>
              <w:t>主营业务</w:t>
            </w:r>
          </w:p>
        </w:tc>
        <w:tc>
          <w:tcPr>
            <w:tcW w:w="4155" w:type="pct"/>
            <w:vAlign w:val="center"/>
          </w:tcPr>
          <w:p w:rsidR="0070207B" w:rsidRPr="002F455B" w:rsidRDefault="0070207B" w:rsidP="00454550">
            <w:pPr>
              <w:widowControl/>
              <w:rPr>
                <w:rFonts w:ascii="Times New Roman" w:hAnsi="Times New Roman"/>
                <w:kern w:val="0"/>
              </w:rPr>
            </w:pPr>
            <w:r w:rsidRPr="002F455B">
              <w:rPr>
                <w:rFonts w:ascii="Times New Roman" w:hAnsi="Times New Roman"/>
                <w:kern w:val="0"/>
              </w:rPr>
              <w:t>主营业务为机器人运动控制器和驱动器的生产和销售，为机器人运动控制平台研发和技术支持。</w:t>
            </w:r>
          </w:p>
        </w:tc>
      </w:tr>
    </w:tbl>
    <w:p w:rsidR="00883136" w:rsidRPr="002F455B" w:rsidRDefault="00883136" w:rsidP="00E21209">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2</w:t>
      </w:r>
      <w:r w:rsidRPr="002F455B">
        <w:rPr>
          <w:rFonts w:ascii="Times New Roman" w:hAnsi="Times New Roman" w:hint="eastAsia"/>
          <w:b/>
          <w:sz w:val="24"/>
          <w:szCs w:val="28"/>
        </w:rPr>
        <w:t>、交易对方的基本情况</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048"/>
        <w:gridCol w:w="3049"/>
        <w:gridCol w:w="3049"/>
      </w:tblGrid>
      <w:tr w:rsidR="002F455B" w:rsidRPr="002F455B" w:rsidTr="0070207B">
        <w:trPr>
          <w:trHeight w:val="340"/>
          <w:jc w:val="center"/>
        </w:trPr>
        <w:tc>
          <w:tcPr>
            <w:tcW w:w="1666" w:type="pct"/>
            <w:noWrap/>
            <w:vAlign w:val="center"/>
          </w:tcPr>
          <w:p w:rsidR="00883136" w:rsidRPr="002F455B" w:rsidRDefault="00883136" w:rsidP="00454550">
            <w:pPr>
              <w:widowControl/>
              <w:jc w:val="left"/>
              <w:rPr>
                <w:rFonts w:ascii="Times New Roman" w:hAnsi="Times New Roman"/>
                <w:b/>
                <w:kern w:val="0"/>
              </w:rPr>
            </w:pPr>
            <w:r w:rsidRPr="002F455B">
              <w:rPr>
                <w:rFonts w:ascii="Times New Roman" w:hAnsi="Times New Roman"/>
                <w:b/>
                <w:kern w:val="0"/>
              </w:rPr>
              <w:t>姓名</w:t>
            </w:r>
          </w:p>
        </w:tc>
        <w:tc>
          <w:tcPr>
            <w:tcW w:w="1667" w:type="pct"/>
            <w:noWrap/>
            <w:vAlign w:val="center"/>
          </w:tcPr>
          <w:p w:rsidR="00883136" w:rsidRPr="002F455B" w:rsidRDefault="00883136" w:rsidP="00454550">
            <w:pPr>
              <w:widowControl/>
              <w:jc w:val="left"/>
              <w:rPr>
                <w:rFonts w:ascii="Times New Roman" w:hAnsi="Times New Roman"/>
                <w:b/>
                <w:kern w:val="0"/>
              </w:rPr>
            </w:pPr>
            <w:proofErr w:type="spellStart"/>
            <w:r w:rsidRPr="002F455B">
              <w:rPr>
                <w:rFonts w:ascii="Times New Roman" w:hAnsi="Times New Roman"/>
                <w:b/>
                <w:kern w:val="0"/>
              </w:rPr>
              <w:t>Marzio</w:t>
            </w:r>
            <w:proofErr w:type="spellEnd"/>
            <w:r w:rsidRPr="002F455B">
              <w:rPr>
                <w:rFonts w:ascii="Times New Roman" w:hAnsi="Times New Roman"/>
                <w:b/>
                <w:kern w:val="0"/>
              </w:rPr>
              <w:t xml:space="preserve"> </w:t>
            </w:r>
            <w:proofErr w:type="spellStart"/>
            <w:r w:rsidRPr="002F455B">
              <w:rPr>
                <w:rFonts w:ascii="Times New Roman" w:hAnsi="Times New Roman"/>
                <w:b/>
                <w:kern w:val="0"/>
              </w:rPr>
              <w:t>Montorsi</w:t>
            </w:r>
            <w:proofErr w:type="spellEnd"/>
          </w:p>
        </w:tc>
        <w:tc>
          <w:tcPr>
            <w:tcW w:w="1667" w:type="pct"/>
            <w:noWrap/>
            <w:vAlign w:val="center"/>
          </w:tcPr>
          <w:p w:rsidR="00883136" w:rsidRPr="002F455B" w:rsidRDefault="00883136" w:rsidP="00454550">
            <w:pPr>
              <w:widowControl/>
              <w:jc w:val="left"/>
              <w:rPr>
                <w:rFonts w:ascii="Times New Roman" w:hAnsi="Times New Roman"/>
                <w:b/>
                <w:kern w:val="0"/>
              </w:rPr>
            </w:pPr>
            <w:r w:rsidRPr="002F455B">
              <w:rPr>
                <w:rFonts w:ascii="Times New Roman" w:hAnsi="Times New Roman"/>
                <w:b/>
                <w:kern w:val="0"/>
              </w:rPr>
              <w:t xml:space="preserve">Lea </w:t>
            </w:r>
            <w:proofErr w:type="spellStart"/>
            <w:r w:rsidRPr="002F455B">
              <w:rPr>
                <w:rFonts w:ascii="Times New Roman" w:hAnsi="Times New Roman"/>
                <w:b/>
                <w:kern w:val="0"/>
              </w:rPr>
              <w:t>Montorsi</w:t>
            </w:r>
            <w:proofErr w:type="spellEnd"/>
          </w:p>
        </w:tc>
      </w:tr>
      <w:tr w:rsidR="002F455B" w:rsidRPr="002F455B" w:rsidTr="0070207B">
        <w:trPr>
          <w:trHeight w:val="340"/>
          <w:jc w:val="center"/>
        </w:trPr>
        <w:tc>
          <w:tcPr>
            <w:tcW w:w="1666"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性别</w:t>
            </w:r>
          </w:p>
        </w:tc>
        <w:tc>
          <w:tcPr>
            <w:tcW w:w="1667"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男</w:t>
            </w:r>
          </w:p>
        </w:tc>
        <w:tc>
          <w:tcPr>
            <w:tcW w:w="1667"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女</w:t>
            </w:r>
          </w:p>
        </w:tc>
      </w:tr>
      <w:tr w:rsidR="002F455B" w:rsidRPr="002F455B" w:rsidTr="0070207B">
        <w:trPr>
          <w:trHeight w:val="340"/>
          <w:jc w:val="center"/>
        </w:trPr>
        <w:tc>
          <w:tcPr>
            <w:tcW w:w="1666"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国籍</w:t>
            </w:r>
          </w:p>
        </w:tc>
        <w:tc>
          <w:tcPr>
            <w:tcW w:w="1667"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意大利</w:t>
            </w:r>
          </w:p>
        </w:tc>
        <w:tc>
          <w:tcPr>
            <w:tcW w:w="1667"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意大利</w:t>
            </w:r>
          </w:p>
        </w:tc>
      </w:tr>
      <w:tr w:rsidR="002F455B" w:rsidRPr="002F455B" w:rsidTr="0070207B">
        <w:trPr>
          <w:trHeight w:val="340"/>
          <w:jc w:val="center"/>
        </w:trPr>
        <w:tc>
          <w:tcPr>
            <w:tcW w:w="1666"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就职单位及职务</w:t>
            </w:r>
          </w:p>
        </w:tc>
        <w:tc>
          <w:tcPr>
            <w:tcW w:w="1667"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ROBOX</w:t>
            </w:r>
            <w:r w:rsidRPr="002F455B">
              <w:rPr>
                <w:rFonts w:ascii="Times New Roman" w:hAnsi="Times New Roman"/>
                <w:kern w:val="0"/>
              </w:rPr>
              <w:t>公司股东</w:t>
            </w:r>
          </w:p>
        </w:tc>
        <w:tc>
          <w:tcPr>
            <w:tcW w:w="1667"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ROBOX</w:t>
            </w:r>
            <w:r w:rsidRPr="002F455B">
              <w:rPr>
                <w:rFonts w:ascii="Times New Roman" w:hAnsi="Times New Roman"/>
                <w:kern w:val="0"/>
              </w:rPr>
              <w:t>公司股东</w:t>
            </w:r>
          </w:p>
        </w:tc>
      </w:tr>
    </w:tbl>
    <w:p w:rsidR="00883136" w:rsidRPr="002F455B" w:rsidRDefault="00883136" w:rsidP="00E21209">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3</w:t>
      </w:r>
      <w:r w:rsidRPr="002F455B">
        <w:rPr>
          <w:rFonts w:ascii="Times New Roman" w:hAnsi="Times New Roman"/>
          <w:b/>
          <w:sz w:val="24"/>
          <w:szCs w:val="28"/>
        </w:rPr>
        <w:t>、</w:t>
      </w:r>
      <w:r w:rsidRPr="002F455B">
        <w:rPr>
          <w:rFonts w:ascii="Times New Roman" w:hAnsi="Times New Roman" w:hint="eastAsia"/>
          <w:b/>
          <w:sz w:val="24"/>
          <w:szCs w:val="28"/>
        </w:rPr>
        <w:t>本次股权转让前后标的公司的股权结构</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017"/>
        <w:gridCol w:w="2515"/>
        <w:gridCol w:w="2614"/>
      </w:tblGrid>
      <w:tr w:rsidR="002F455B" w:rsidRPr="002F455B" w:rsidTr="0070207B">
        <w:trPr>
          <w:trHeight w:val="340"/>
          <w:jc w:val="center"/>
        </w:trPr>
        <w:tc>
          <w:tcPr>
            <w:tcW w:w="2196" w:type="pct"/>
            <w:vAlign w:val="center"/>
          </w:tcPr>
          <w:p w:rsidR="00883136" w:rsidRPr="002F455B" w:rsidRDefault="00883136" w:rsidP="00454550">
            <w:pPr>
              <w:widowControl/>
              <w:rPr>
                <w:rFonts w:ascii="Times New Roman" w:hAnsi="Times New Roman"/>
                <w:b/>
                <w:kern w:val="0"/>
              </w:rPr>
            </w:pPr>
            <w:r w:rsidRPr="002F455B">
              <w:rPr>
                <w:rFonts w:ascii="Times New Roman" w:hAnsi="Times New Roman"/>
                <w:b/>
                <w:kern w:val="0"/>
              </w:rPr>
              <w:t>股东名称</w:t>
            </w:r>
          </w:p>
        </w:tc>
        <w:tc>
          <w:tcPr>
            <w:tcW w:w="1375" w:type="pct"/>
            <w:vAlign w:val="center"/>
          </w:tcPr>
          <w:p w:rsidR="00883136" w:rsidRPr="002F455B" w:rsidRDefault="00883136" w:rsidP="00454550">
            <w:pPr>
              <w:widowControl/>
              <w:rPr>
                <w:rFonts w:ascii="Times New Roman" w:hAnsi="Times New Roman"/>
                <w:b/>
                <w:kern w:val="0"/>
              </w:rPr>
            </w:pPr>
            <w:r w:rsidRPr="002F455B">
              <w:rPr>
                <w:rFonts w:ascii="Times New Roman" w:hAnsi="Times New Roman"/>
                <w:b/>
                <w:kern w:val="0"/>
              </w:rPr>
              <w:t>转让前持股比例</w:t>
            </w:r>
          </w:p>
        </w:tc>
        <w:tc>
          <w:tcPr>
            <w:tcW w:w="1429" w:type="pct"/>
            <w:vAlign w:val="center"/>
          </w:tcPr>
          <w:p w:rsidR="00883136" w:rsidRPr="002F455B" w:rsidRDefault="00883136" w:rsidP="00454550">
            <w:pPr>
              <w:widowControl/>
              <w:rPr>
                <w:rFonts w:ascii="Times New Roman" w:hAnsi="Times New Roman"/>
                <w:b/>
                <w:kern w:val="0"/>
              </w:rPr>
            </w:pPr>
            <w:r w:rsidRPr="002F455B">
              <w:rPr>
                <w:rFonts w:ascii="Times New Roman" w:hAnsi="Times New Roman"/>
                <w:b/>
                <w:kern w:val="0"/>
              </w:rPr>
              <w:t>转让后持股比例</w:t>
            </w:r>
          </w:p>
        </w:tc>
      </w:tr>
      <w:tr w:rsidR="002F455B" w:rsidRPr="002F455B" w:rsidTr="0070207B">
        <w:trPr>
          <w:trHeight w:val="340"/>
          <w:jc w:val="center"/>
        </w:trPr>
        <w:tc>
          <w:tcPr>
            <w:tcW w:w="2196" w:type="pct"/>
            <w:vAlign w:val="center"/>
          </w:tcPr>
          <w:p w:rsidR="00883136" w:rsidRPr="002F455B" w:rsidRDefault="00883136" w:rsidP="00454550">
            <w:pPr>
              <w:widowControl/>
              <w:rPr>
                <w:rFonts w:ascii="Times New Roman" w:hAnsi="Times New Roman"/>
                <w:kern w:val="0"/>
              </w:rPr>
            </w:pPr>
            <w:r w:rsidRPr="002F455B">
              <w:rPr>
                <w:rFonts w:ascii="Times New Roman" w:hAnsi="Times New Roman"/>
                <w:kern w:val="0"/>
              </w:rPr>
              <w:t>埃夫特智能装备股份有限公司</w:t>
            </w:r>
          </w:p>
        </w:tc>
        <w:tc>
          <w:tcPr>
            <w:tcW w:w="1375" w:type="pct"/>
            <w:vAlign w:val="center"/>
          </w:tcPr>
          <w:p w:rsidR="00883136" w:rsidRPr="002F455B" w:rsidRDefault="00883136" w:rsidP="00454550">
            <w:pPr>
              <w:widowControl/>
              <w:jc w:val="center"/>
              <w:rPr>
                <w:rFonts w:ascii="Times New Roman" w:hAnsi="Times New Roman"/>
                <w:kern w:val="0"/>
              </w:rPr>
            </w:pPr>
            <w:r w:rsidRPr="002F455B">
              <w:rPr>
                <w:rFonts w:ascii="Times New Roman" w:hAnsi="Times New Roman"/>
                <w:kern w:val="0"/>
              </w:rPr>
              <w:t>40.00%</w:t>
            </w:r>
          </w:p>
        </w:tc>
        <w:tc>
          <w:tcPr>
            <w:tcW w:w="1429" w:type="pct"/>
            <w:vAlign w:val="center"/>
          </w:tcPr>
          <w:p w:rsidR="00883136" w:rsidRPr="002F455B" w:rsidRDefault="00883136" w:rsidP="00454550">
            <w:pPr>
              <w:widowControl/>
              <w:jc w:val="center"/>
              <w:rPr>
                <w:rFonts w:ascii="Times New Roman" w:hAnsi="Times New Roman"/>
                <w:kern w:val="0"/>
              </w:rPr>
            </w:pPr>
            <w:r w:rsidRPr="002F455B">
              <w:rPr>
                <w:rFonts w:ascii="Times New Roman" w:hAnsi="Times New Roman"/>
                <w:kern w:val="0"/>
              </w:rPr>
              <w:t>49.00%</w:t>
            </w:r>
          </w:p>
        </w:tc>
      </w:tr>
      <w:tr w:rsidR="002F455B" w:rsidRPr="002F455B" w:rsidTr="0070207B">
        <w:trPr>
          <w:trHeight w:val="340"/>
          <w:jc w:val="center"/>
        </w:trPr>
        <w:tc>
          <w:tcPr>
            <w:tcW w:w="2196" w:type="pct"/>
            <w:vAlign w:val="center"/>
          </w:tcPr>
          <w:p w:rsidR="00883136" w:rsidRPr="002F455B" w:rsidRDefault="00883136" w:rsidP="00454550">
            <w:pPr>
              <w:widowControl/>
              <w:rPr>
                <w:rFonts w:ascii="Times New Roman" w:hAnsi="Times New Roman"/>
                <w:kern w:val="0"/>
              </w:rPr>
            </w:pPr>
            <w:proofErr w:type="spellStart"/>
            <w:r w:rsidRPr="002F455B">
              <w:rPr>
                <w:rFonts w:ascii="Times New Roman" w:hAnsi="Times New Roman"/>
                <w:kern w:val="0"/>
              </w:rPr>
              <w:t>Marzio</w:t>
            </w:r>
            <w:proofErr w:type="spellEnd"/>
            <w:r w:rsidRPr="002F455B">
              <w:rPr>
                <w:rFonts w:ascii="Times New Roman" w:hAnsi="Times New Roman"/>
                <w:kern w:val="0"/>
              </w:rPr>
              <w:t xml:space="preserve"> </w:t>
            </w:r>
            <w:proofErr w:type="spellStart"/>
            <w:r w:rsidRPr="002F455B">
              <w:rPr>
                <w:rFonts w:ascii="Times New Roman" w:hAnsi="Times New Roman"/>
                <w:kern w:val="0"/>
              </w:rPr>
              <w:t>Montorsi</w:t>
            </w:r>
            <w:proofErr w:type="spellEnd"/>
          </w:p>
        </w:tc>
        <w:tc>
          <w:tcPr>
            <w:tcW w:w="1375" w:type="pct"/>
            <w:vAlign w:val="center"/>
          </w:tcPr>
          <w:p w:rsidR="00883136" w:rsidRPr="002F455B" w:rsidRDefault="00883136" w:rsidP="00454550">
            <w:pPr>
              <w:widowControl/>
              <w:jc w:val="center"/>
              <w:rPr>
                <w:rFonts w:ascii="Times New Roman" w:hAnsi="Times New Roman"/>
                <w:kern w:val="0"/>
              </w:rPr>
            </w:pPr>
            <w:r w:rsidRPr="002F455B">
              <w:rPr>
                <w:rFonts w:ascii="Times New Roman" w:hAnsi="Times New Roman"/>
                <w:kern w:val="0"/>
              </w:rPr>
              <w:t>30.99%</w:t>
            </w:r>
          </w:p>
        </w:tc>
        <w:tc>
          <w:tcPr>
            <w:tcW w:w="1429" w:type="pct"/>
            <w:vAlign w:val="center"/>
          </w:tcPr>
          <w:p w:rsidR="00883136" w:rsidRPr="002F455B" w:rsidRDefault="00883136" w:rsidP="00454550">
            <w:pPr>
              <w:widowControl/>
              <w:jc w:val="center"/>
              <w:rPr>
                <w:rFonts w:ascii="Times New Roman" w:hAnsi="Times New Roman"/>
                <w:kern w:val="0"/>
              </w:rPr>
            </w:pPr>
            <w:r w:rsidRPr="002F455B">
              <w:rPr>
                <w:rFonts w:ascii="Times New Roman" w:hAnsi="Times New Roman"/>
                <w:kern w:val="0"/>
              </w:rPr>
              <w:t>26.49%</w:t>
            </w:r>
          </w:p>
        </w:tc>
      </w:tr>
      <w:tr w:rsidR="002F455B" w:rsidRPr="002F455B" w:rsidTr="0070207B">
        <w:trPr>
          <w:trHeight w:val="340"/>
          <w:jc w:val="center"/>
        </w:trPr>
        <w:tc>
          <w:tcPr>
            <w:tcW w:w="2196" w:type="pct"/>
            <w:vAlign w:val="center"/>
          </w:tcPr>
          <w:p w:rsidR="00883136" w:rsidRPr="002F455B" w:rsidRDefault="00883136" w:rsidP="00454550">
            <w:pPr>
              <w:widowControl/>
              <w:rPr>
                <w:rFonts w:ascii="Times New Roman" w:hAnsi="Times New Roman"/>
                <w:kern w:val="0"/>
              </w:rPr>
            </w:pPr>
            <w:r w:rsidRPr="002F455B">
              <w:rPr>
                <w:rFonts w:ascii="Times New Roman" w:hAnsi="Times New Roman"/>
                <w:kern w:val="0"/>
              </w:rPr>
              <w:t xml:space="preserve">Lea </w:t>
            </w:r>
            <w:proofErr w:type="spellStart"/>
            <w:r w:rsidRPr="002F455B">
              <w:rPr>
                <w:rFonts w:ascii="Times New Roman" w:hAnsi="Times New Roman"/>
                <w:kern w:val="0"/>
              </w:rPr>
              <w:t>Montorsi</w:t>
            </w:r>
            <w:proofErr w:type="spellEnd"/>
          </w:p>
        </w:tc>
        <w:tc>
          <w:tcPr>
            <w:tcW w:w="1375" w:type="pct"/>
            <w:vAlign w:val="center"/>
          </w:tcPr>
          <w:p w:rsidR="00883136" w:rsidRPr="002F455B" w:rsidRDefault="00883136" w:rsidP="00454550">
            <w:pPr>
              <w:widowControl/>
              <w:jc w:val="center"/>
              <w:rPr>
                <w:rFonts w:ascii="Times New Roman" w:hAnsi="Times New Roman"/>
                <w:kern w:val="0"/>
              </w:rPr>
            </w:pPr>
            <w:r w:rsidRPr="002F455B">
              <w:rPr>
                <w:rFonts w:ascii="Times New Roman" w:hAnsi="Times New Roman"/>
                <w:kern w:val="0"/>
              </w:rPr>
              <w:t>29.01%</w:t>
            </w:r>
          </w:p>
        </w:tc>
        <w:tc>
          <w:tcPr>
            <w:tcW w:w="1429" w:type="pct"/>
            <w:vAlign w:val="center"/>
          </w:tcPr>
          <w:p w:rsidR="00883136" w:rsidRPr="002F455B" w:rsidRDefault="00883136" w:rsidP="00454550">
            <w:pPr>
              <w:widowControl/>
              <w:jc w:val="center"/>
              <w:rPr>
                <w:rFonts w:ascii="Times New Roman" w:hAnsi="Times New Roman"/>
                <w:kern w:val="0"/>
              </w:rPr>
            </w:pPr>
            <w:r w:rsidRPr="002F455B">
              <w:rPr>
                <w:rFonts w:ascii="Times New Roman" w:hAnsi="Times New Roman"/>
                <w:kern w:val="0"/>
              </w:rPr>
              <w:t>24.51%</w:t>
            </w:r>
          </w:p>
        </w:tc>
      </w:tr>
    </w:tbl>
    <w:p w:rsidR="00883136" w:rsidRPr="002F455B" w:rsidRDefault="00883136" w:rsidP="00E21209">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4</w:t>
      </w:r>
      <w:r w:rsidRPr="002F455B">
        <w:rPr>
          <w:rFonts w:ascii="Times New Roman" w:hAnsi="Times New Roman" w:hint="eastAsia"/>
          <w:b/>
          <w:sz w:val="24"/>
          <w:szCs w:val="28"/>
        </w:rPr>
        <w:t>、标的公司的主要财务数据</w:t>
      </w:r>
    </w:p>
    <w:p w:rsidR="00883136" w:rsidRPr="002F455B" w:rsidRDefault="00883136" w:rsidP="0070207B">
      <w:pPr>
        <w:adjustRightInd w:val="0"/>
        <w:snapToGrid w:val="0"/>
        <w:jc w:val="right"/>
        <w:rPr>
          <w:rFonts w:ascii="宋体" w:hAnsi="宋体"/>
        </w:rPr>
      </w:pPr>
      <w:r w:rsidRPr="002F455B">
        <w:rPr>
          <w:rFonts w:ascii="宋体" w:hAnsi="宋体" w:hint="eastAsia"/>
        </w:rPr>
        <w:t>单位：万欧元</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099"/>
        <w:gridCol w:w="2051"/>
        <w:gridCol w:w="2998"/>
        <w:gridCol w:w="2998"/>
      </w:tblGrid>
      <w:tr w:rsidR="002F455B" w:rsidRPr="002F455B" w:rsidTr="007E6B49">
        <w:trPr>
          <w:trHeight w:val="284"/>
          <w:jc w:val="center"/>
        </w:trPr>
        <w:tc>
          <w:tcPr>
            <w:tcW w:w="601" w:type="pct"/>
            <w:noWrap/>
            <w:vAlign w:val="center"/>
          </w:tcPr>
          <w:p w:rsidR="00883136" w:rsidRPr="002F455B" w:rsidRDefault="00883136" w:rsidP="00454550">
            <w:pPr>
              <w:widowControl/>
              <w:jc w:val="left"/>
              <w:rPr>
                <w:rFonts w:ascii="Times New Roman" w:hAnsi="Times New Roman"/>
                <w:b/>
                <w:kern w:val="0"/>
              </w:rPr>
            </w:pPr>
            <w:r w:rsidRPr="002F455B">
              <w:rPr>
                <w:rFonts w:ascii="Times New Roman" w:hAnsi="Times New Roman"/>
                <w:b/>
                <w:kern w:val="0"/>
              </w:rPr>
              <w:t>序号</w:t>
            </w:r>
          </w:p>
        </w:tc>
        <w:tc>
          <w:tcPr>
            <w:tcW w:w="1121" w:type="pct"/>
            <w:noWrap/>
            <w:vAlign w:val="center"/>
          </w:tcPr>
          <w:p w:rsidR="00883136" w:rsidRPr="002F455B" w:rsidRDefault="00883136" w:rsidP="00454550">
            <w:pPr>
              <w:widowControl/>
              <w:jc w:val="left"/>
              <w:rPr>
                <w:rFonts w:ascii="Times New Roman" w:hAnsi="Times New Roman"/>
                <w:b/>
                <w:kern w:val="0"/>
              </w:rPr>
            </w:pPr>
            <w:r w:rsidRPr="002F455B">
              <w:rPr>
                <w:rFonts w:ascii="Times New Roman" w:hAnsi="Times New Roman"/>
                <w:b/>
                <w:kern w:val="0"/>
              </w:rPr>
              <w:t>主要指标</w:t>
            </w:r>
          </w:p>
        </w:tc>
        <w:tc>
          <w:tcPr>
            <w:tcW w:w="1639" w:type="pct"/>
            <w:noWrap/>
            <w:vAlign w:val="center"/>
          </w:tcPr>
          <w:p w:rsidR="00883136" w:rsidRPr="002F455B" w:rsidRDefault="00883136" w:rsidP="00454550">
            <w:pPr>
              <w:widowControl/>
              <w:jc w:val="right"/>
              <w:rPr>
                <w:rFonts w:ascii="Times New Roman" w:hAnsi="Times New Roman"/>
                <w:b/>
                <w:kern w:val="0"/>
              </w:rPr>
            </w:pPr>
            <w:r w:rsidRPr="002F455B">
              <w:rPr>
                <w:rFonts w:ascii="Times New Roman" w:hAnsi="Times New Roman"/>
                <w:b/>
                <w:kern w:val="0"/>
              </w:rPr>
              <w:t>2021</w:t>
            </w:r>
            <w:r w:rsidRPr="002F455B">
              <w:rPr>
                <w:rFonts w:ascii="Times New Roman" w:hAnsi="Times New Roman"/>
                <w:b/>
                <w:kern w:val="0"/>
              </w:rPr>
              <w:t>年</w:t>
            </w:r>
            <w:r w:rsidRPr="002F455B">
              <w:rPr>
                <w:rFonts w:ascii="Times New Roman" w:hAnsi="Times New Roman"/>
                <w:b/>
                <w:kern w:val="0"/>
              </w:rPr>
              <w:t>9</w:t>
            </w:r>
            <w:r w:rsidRPr="002F455B">
              <w:rPr>
                <w:rFonts w:ascii="Times New Roman" w:hAnsi="Times New Roman"/>
                <w:b/>
                <w:kern w:val="0"/>
              </w:rPr>
              <w:t>月</w:t>
            </w:r>
            <w:r w:rsidRPr="002F455B">
              <w:rPr>
                <w:rFonts w:ascii="Times New Roman" w:hAnsi="Times New Roman"/>
                <w:b/>
                <w:kern w:val="0"/>
              </w:rPr>
              <w:t>30</w:t>
            </w:r>
            <w:r w:rsidRPr="002F455B">
              <w:rPr>
                <w:rFonts w:ascii="Times New Roman" w:hAnsi="Times New Roman"/>
                <w:b/>
                <w:kern w:val="0"/>
              </w:rPr>
              <w:t>日</w:t>
            </w:r>
          </w:p>
        </w:tc>
        <w:tc>
          <w:tcPr>
            <w:tcW w:w="1639" w:type="pct"/>
            <w:noWrap/>
            <w:vAlign w:val="center"/>
          </w:tcPr>
          <w:p w:rsidR="00883136" w:rsidRPr="002F455B" w:rsidRDefault="00883136" w:rsidP="00454550">
            <w:pPr>
              <w:widowControl/>
              <w:jc w:val="right"/>
              <w:rPr>
                <w:rFonts w:ascii="Times New Roman" w:hAnsi="Times New Roman"/>
                <w:b/>
                <w:kern w:val="0"/>
              </w:rPr>
            </w:pPr>
            <w:r w:rsidRPr="002F455B">
              <w:rPr>
                <w:rFonts w:ascii="Times New Roman" w:hAnsi="Times New Roman"/>
                <w:b/>
                <w:kern w:val="0"/>
              </w:rPr>
              <w:t>2020</w:t>
            </w:r>
            <w:r w:rsidRPr="002F455B">
              <w:rPr>
                <w:rFonts w:ascii="Times New Roman" w:hAnsi="Times New Roman"/>
                <w:b/>
                <w:kern w:val="0"/>
              </w:rPr>
              <w:t>年</w:t>
            </w:r>
            <w:r w:rsidRPr="002F455B">
              <w:rPr>
                <w:rFonts w:ascii="Times New Roman" w:hAnsi="Times New Roman"/>
                <w:b/>
                <w:kern w:val="0"/>
              </w:rPr>
              <w:t>12</w:t>
            </w:r>
            <w:r w:rsidRPr="002F455B">
              <w:rPr>
                <w:rFonts w:ascii="Times New Roman" w:hAnsi="Times New Roman"/>
                <w:b/>
                <w:kern w:val="0"/>
              </w:rPr>
              <w:t>月</w:t>
            </w:r>
            <w:r w:rsidRPr="002F455B">
              <w:rPr>
                <w:rFonts w:ascii="Times New Roman" w:hAnsi="Times New Roman"/>
                <w:b/>
                <w:kern w:val="0"/>
              </w:rPr>
              <w:t>31</w:t>
            </w:r>
            <w:r w:rsidRPr="002F455B">
              <w:rPr>
                <w:rFonts w:ascii="Times New Roman" w:hAnsi="Times New Roman"/>
                <w:b/>
                <w:kern w:val="0"/>
              </w:rPr>
              <w:t>日</w:t>
            </w:r>
          </w:p>
        </w:tc>
      </w:tr>
      <w:tr w:rsidR="002F455B" w:rsidRPr="002F455B" w:rsidTr="007E6B49">
        <w:trPr>
          <w:trHeight w:val="270"/>
          <w:jc w:val="center"/>
        </w:trPr>
        <w:tc>
          <w:tcPr>
            <w:tcW w:w="60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1</w:t>
            </w:r>
          </w:p>
        </w:tc>
        <w:tc>
          <w:tcPr>
            <w:tcW w:w="112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资产总额</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976.2</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835.2</w:t>
            </w:r>
          </w:p>
        </w:tc>
      </w:tr>
      <w:tr w:rsidR="002F455B" w:rsidRPr="002F455B" w:rsidTr="007E6B49">
        <w:trPr>
          <w:trHeight w:val="270"/>
          <w:jc w:val="center"/>
        </w:trPr>
        <w:tc>
          <w:tcPr>
            <w:tcW w:w="60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2</w:t>
            </w:r>
          </w:p>
        </w:tc>
        <w:tc>
          <w:tcPr>
            <w:tcW w:w="112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负债总额</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527.1</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435.4</w:t>
            </w:r>
          </w:p>
        </w:tc>
      </w:tr>
      <w:tr w:rsidR="002F455B" w:rsidRPr="002F455B" w:rsidTr="007E6B49">
        <w:trPr>
          <w:trHeight w:val="270"/>
          <w:jc w:val="center"/>
        </w:trPr>
        <w:tc>
          <w:tcPr>
            <w:tcW w:w="60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3</w:t>
            </w:r>
          </w:p>
        </w:tc>
        <w:tc>
          <w:tcPr>
            <w:tcW w:w="112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净资产</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449.1</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399.8</w:t>
            </w:r>
          </w:p>
        </w:tc>
      </w:tr>
      <w:tr w:rsidR="002F455B" w:rsidRPr="002F455B" w:rsidTr="007E6B49">
        <w:trPr>
          <w:trHeight w:val="270"/>
          <w:jc w:val="center"/>
        </w:trPr>
        <w:tc>
          <w:tcPr>
            <w:tcW w:w="601" w:type="pct"/>
            <w:noWrap/>
            <w:vAlign w:val="center"/>
          </w:tcPr>
          <w:p w:rsidR="00883136" w:rsidRPr="002F455B" w:rsidRDefault="00883136" w:rsidP="00454550">
            <w:pPr>
              <w:widowControl/>
              <w:jc w:val="left"/>
              <w:rPr>
                <w:rFonts w:ascii="Times New Roman" w:hAnsi="Times New Roman"/>
                <w:b/>
                <w:kern w:val="0"/>
              </w:rPr>
            </w:pPr>
            <w:r w:rsidRPr="002F455B">
              <w:rPr>
                <w:rFonts w:ascii="Times New Roman" w:hAnsi="Times New Roman"/>
                <w:b/>
                <w:kern w:val="0"/>
              </w:rPr>
              <w:t>序号</w:t>
            </w:r>
          </w:p>
        </w:tc>
        <w:tc>
          <w:tcPr>
            <w:tcW w:w="1121" w:type="pct"/>
            <w:noWrap/>
            <w:vAlign w:val="center"/>
          </w:tcPr>
          <w:p w:rsidR="00883136" w:rsidRPr="002F455B" w:rsidRDefault="00883136" w:rsidP="00454550">
            <w:pPr>
              <w:widowControl/>
              <w:jc w:val="left"/>
              <w:rPr>
                <w:rFonts w:ascii="Times New Roman" w:hAnsi="Times New Roman"/>
                <w:b/>
                <w:kern w:val="0"/>
              </w:rPr>
            </w:pPr>
            <w:r w:rsidRPr="002F455B">
              <w:rPr>
                <w:rFonts w:ascii="Times New Roman" w:hAnsi="Times New Roman"/>
                <w:b/>
                <w:kern w:val="0"/>
              </w:rPr>
              <w:t>主要指标</w:t>
            </w:r>
          </w:p>
        </w:tc>
        <w:tc>
          <w:tcPr>
            <w:tcW w:w="1639" w:type="pct"/>
            <w:noWrap/>
            <w:vAlign w:val="center"/>
          </w:tcPr>
          <w:p w:rsidR="00883136" w:rsidRPr="002F455B" w:rsidRDefault="00883136" w:rsidP="00454550">
            <w:pPr>
              <w:widowControl/>
              <w:jc w:val="right"/>
              <w:rPr>
                <w:rFonts w:ascii="Times New Roman" w:hAnsi="Times New Roman"/>
                <w:b/>
                <w:kern w:val="0"/>
              </w:rPr>
            </w:pPr>
            <w:r w:rsidRPr="002F455B">
              <w:rPr>
                <w:rFonts w:ascii="Times New Roman" w:hAnsi="Times New Roman"/>
                <w:b/>
                <w:kern w:val="0"/>
              </w:rPr>
              <w:t>2021</w:t>
            </w:r>
            <w:r w:rsidRPr="002F455B">
              <w:rPr>
                <w:rFonts w:ascii="Times New Roman" w:hAnsi="Times New Roman"/>
                <w:b/>
                <w:kern w:val="0"/>
              </w:rPr>
              <w:t>年</w:t>
            </w:r>
            <w:r w:rsidRPr="002F455B">
              <w:rPr>
                <w:rFonts w:ascii="Times New Roman" w:hAnsi="Times New Roman"/>
                <w:b/>
                <w:kern w:val="0"/>
              </w:rPr>
              <w:t>1-9</w:t>
            </w:r>
            <w:r w:rsidRPr="002F455B">
              <w:rPr>
                <w:rFonts w:ascii="Times New Roman" w:hAnsi="Times New Roman"/>
                <w:b/>
                <w:kern w:val="0"/>
              </w:rPr>
              <w:t>月</w:t>
            </w:r>
          </w:p>
        </w:tc>
        <w:tc>
          <w:tcPr>
            <w:tcW w:w="1639" w:type="pct"/>
            <w:noWrap/>
            <w:vAlign w:val="center"/>
          </w:tcPr>
          <w:p w:rsidR="00883136" w:rsidRPr="002F455B" w:rsidRDefault="00883136" w:rsidP="00454550">
            <w:pPr>
              <w:widowControl/>
              <w:jc w:val="right"/>
              <w:rPr>
                <w:rFonts w:ascii="Times New Roman" w:hAnsi="Times New Roman"/>
                <w:b/>
                <w:kern w:val="0"/>
              </w:rPr>
            </w:pPr>
            <w:r w:rsidRPr="002F455B">
              <w:rPr>
                <w:rFonts w:ascii="Times New Roman" w:hAnsi="Times New Roman"/>
                <w:b/>
                <w:kern w:val="0"/>
              </w:rPr>
              <w:t>2020</w:t>
            </w:r>
            <w:r w:rsidRPr="002F455B">
              <w:rPr>
                <w:rFonts w:ascii="Times New Roman" w:hAnsi="Times New Roman"/>
                <w:b/>
                <w:kern w:val="0"/>
              </w:rPr>
              <w:t>年度</w:t>
            </w:r>
          </w:p>
        </w:tc>
      </w:tr>
      <w:tr w:rsidR="002F455B" w:rsidRPr="002F455B" w:rsidTr="007E6B49">
        <w:trPr>
          <w:trHeight w:val="270"/>
          <w:jc w:val="center"/>
        </w:trPr>
        <w:tc>
          <w:tcPr>
            <w:tcW w:w="60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1</w:t>
            </w:r>
          </w:p>
        </w:tc>
        <w:tc>
          <w:tcPr>
            <w:tcW w:w="112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营业收入</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553.7</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584.1</w:t>
            </w:r>
          </w:p>
        </w:tc>
      </w:tr>
      <w:tr w:rsidR="002F455B" w:rsidRPr="002F455B" w:rsidTr="007E6B49">
        <w:trPr>
          <w:trHeight w:val="270"/>
          <w:jc w:val="center"/>
        </w:trPr>
        <w:tc>
          <w:tcPr>
            <w:tcW w:w="60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2</w:t>
            </w:r>
          </w:p>
        </w:tc>
        <w:tc>
          <w:tcPr>
            <w:tcW w:w="1121" w:type="pct"/>
            <w:noWrap/>
            <w:vAlign w:val="center"/>
          </w:tcPr>
          <w:p w:rsidR="00883136" w:rsidRPr="002F455B" w:rsidRDefault="00883136" w:rsidP="00454550">
            <w:pPr>
              <w:widowControl/>
              <w:jc w:val="left"/>
              <w:rPr>
                <w:rFonts w:ascii="Times New Roman" w:hAnsi="Times New Roman"/>
                <w:kern w:val="0"/>
              </w:rPr>
            </w:pPr>
            <w:r w:rsidRPr="002F455B">
              <w:rPr>
                <w:rFonts w:ascii="Times New Roman" w:hAnsi="Times New Roman"/>
                <w:kern w:val="0"/>
              </w:rPr>
              <w:t>净利润</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53.6</w:t>
            </w:r>
          </w:p>
        </w:tc>
        <w:tc>
          <w:tcPr>
            <w:tcW w:w="1639" w:type="pct"/>
            <w:noWrap/>
            <w:vAlign w:val="center"/>
          </w:tcPr>
          <w:p w:rsidR="00883136" w:rsidRPr="002F455B" w:rsidRDefault="00883136" w:rsidP="00454550">
            <w:pPr>
              <w:widowControl/>
              <w:jc w:val="right"/>
              <w:rPr>
                <w:rFonts w:ascii="Times New Roman" w:hAnsi="Times New Roman"/>
                <w:kern w:val="0"/>
              </w:rPr>
            </w:pPr>
            <w:r w:rsidRPr="002F455B">
              <w:rPr>
                <w:rFonts w:ascii="Times New Roman" w:hAnsi="Times New Roman"/>
                <w:kern w:val="0"/>
              </w:rPr>
              <w:t>15.9</w:t>
            </w:r>
          </w:p>
        </w:tc>
      </w:tr>
    </w:tbl>
    <w:p w:rsidR="00883136" w:rsidRPr="002F455B" w:rsidRDefault="00883136" w:rsidP="00883136">
      <w:pPr>
        <w:adjustRightInd w:val="0"/>
        <w:snapToGrid w:val="0"/>
        <w:spacing w:line="276" w:lineRule="auto"/>
        <w:rPr>
          <w:rFonts w:ascii="Times New Roman" w:hAnsi="Times New Roman"/>
        </w:rPr>
      </w:pPr>
      <w:r w:rsidRPr="002F455B">
        <w:rPr>
          <w:rFonts w:ascii="Times New Roman" w:hAnsi="Times New Roman"/>
        </w:rPr>
        <w:t>注：上述</w:t>
      </w:r>
      <w:r w:rsidRPr="002F455B">
        <w:rPr>
          <w:rFonts w:ascii="Times New Roman" w:hAnsi="Times New Roman"/>
          <w:kern w:val="0"/>
        </w:rPr>
        <w:t>2021</w:t>
      </w:r>
      <w:r w:rsidRPr="002F455B">
        <w:rPr>
          <w:rFonts w:ascii="Times New Roman" w:hAnsi="Times New Roman"/>
          <w:kern w:val="0"/>
        </w:rPr>
        <w:t>年</w:t>
      </w:r>
      <w:r w:rsidRPr="002F455B">
        <w:rPr>
          <w:rFonts w:ascii="Times New Roman" w:hAnsi="Times New Roman"/>
          <w:kern w:val="0"/>
        </w:rPr>
        <w:t>9</w:t>
      </w:r>
      <w:r w:rsidRPr="002F455B">
        <w:rPr>
          <w:rFonts w:ascii="Times New Roman" w:hAnsi="Times New Roman"/>
          <w:kern w:val="0"/>
        </w:rPr>
        <w:t>月</w:t>
      </w:r>
      <w:r w:rsidRPr="002F455B">
        <w:rPr>
          <w:rFonts w:ascii="Times New Roman" w:hAnsi="Times New Roman"/>
          <w:kern w:val="0"/>
        </w:rPr>
        <w:t>30</w:t>
      </w:r>
      <w:r w:rsidRPr="002F455B">
        <w:rPr>
          <w:rFonts w:ascii="Times New Roman" w:hAnsi="Times New Roman"/>
          <w:kern w:val="0"/>
        </w:rPr>
        <w:t>日</w:t>
      </w:r>
      <w:r w:rsidRPr="002F455B">
        <w:rPr>
          <w:rFonts w:ascii="Times New Roman" w:hAnsi="Times New Roman"/>
        </w:rPr>
        <w:t>财务数据经</w:t>
      </w:r>
      <w:r w:rsidRPr="002F455B">
        <w:rPr>
          <w:rFonts w:ascii="Times New Roman" w:hAnsi="Times New Roman"/>
        </w:rPr>
        <w:t>PKF Italia S.p.A.</w:t>
      </w:r>
      <w:r w:rsidRPr="002F455B">
        <w:rPr>
          <w:rFonts w:ascii="Times New Roman" w:hAnsi="Times New Roman"/>
        </w:rPr>
        <w:t>审计，经中兴财光华会计师事务所（特殊普通合伙）复核。</w:t>
      </w:r>
    </w:p>
    <w:p w:rsidR="00883136" w:rsidRPr="002F455B" w:rsidRDefault="00883136" w:rsidP="00E21209">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5</w:t>
      </w:r>
      <w:r w:rsidRPr="002F455B">
        <w:rPr>
          <w:rFonts w:ascii="Times New Roman" w:hAnsi="Times New Roman" w:hint="eastAsia"/>
          <w:b/>
          <w:sz w:val="24"/>
          <w:szCs w:val="28"/>
        </w:rPr>
        <w:t>、交易标的股权权属情况</w:t>
      </w:r>
    </w:p>
    <w:p w:rsidR="00883136" w:rsidRPr="002F455B" w:rsidRDefault="00883136" w:rsidP="0070207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交易标的为公司参股公司</w:t>
      </w: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股东</w:t>
      </w:r>
      <w:proofErr w:type="spellStart"/>
      <w:r w:rsidRPr="002F455B">
        <w:rPr>
          <w:rFonts w:ascii="Times New Roman" w:hAnsi="Times New Roman"/>
          <w:sz w:val="24"/>
          <w:szCs w:val="28"/>
        </w:rPr>
        <w:t>Marzio</w:t>
      </w:r>
      <w:proofErr w:type="spellEnd"/>
      <w:r w:rsidRPr="002F455B">
        <w:rPr>
          <w:rFonts w:ascii="Times New Roman" w:hAnsi="Times New Roman"/>
          <w:sz w:val="24"/>
          <w:szCs w:val="28"/>
        </w:rPr>
        <w:t xml:space="preserve"> </w:t>
      </w:r>
      <w:proofErr w:type="spellStart"/>
      <w:r w:rsidRPr="002F455B">
        <w:rPr>
          <w:rFonts w:ascii="Times New Roman" w:hAnsi="Times New Roman"/>
          <w:sz w:val="24"/>
          <w:szCs w:val="28"/>
        </w:rPr>
        <w:t>Montorsi</w:t>
      </w:r>
      <w:proofErr w:type="spellEnd"/>
      <w:r w:rsidRPr="002F455B">
        <w:rPr>
          <w:rFonts w:ascii="Times New Roman" w:hAnsi="Times New Roman" w:hint="eastAsia"/>
          <w:sz w:val="24"/>
          <w:szCs w:val="28"/>
        </w:rPr>
        <w:t>、</w:t>
      </w:r>
      <w:r w:rsidRPr="002F455B">
        <w:rPr>
          <w:rFonts w:ascii="Times New Roman" w:hAnsi="Times New Roman"/>
          <w:sz w:val="24"/>
          <w:szCs w:val="28"/>
        </w:rPr>
        <w:t xml:space="preserve">Lea </w:t>
      </w:r>
      <w:proofErr w:type="spellStart"/>
      <w:r w:rsidRPr="002F455B">
        <w:rPr>
          <w:rFonts w:ascii="Times New Roman" w:hAnsi="Times New Roman"/>
          <w:sz w:val="24"/>
          <w:szCs w:val="28"/>
        </w:rPr>
        <w:t>Montorsi</w:t>
      </w:r>
      <w:proofErr w:type="spellEnd"/>
      <w:r w:rsidRPr="002F455B">
        <w:rPr>
          <w:rFonts w:ascii="Times New Roman" w:hAnsi="Times New Roman" w:hint="eastAsia"/>
          <w:sz w:val="24"/>
          <w:szCs w:val="28"/>
        </w:rPr>
        <w:t>分别持有的</w:t>
      </w:r>
      <w:r w:rsidRPr="002F455B">
        <w:rPr>
          <w:rFonts w:ascii="Times New Roman" w:hAnsi="Times New Roman" w:hint="eastAsia"/>
          <w:sz w:val="24"/>
          <w:szCs w:val="28"/>
        </w:rPr>
        <w:t>R</w:t>
      </w:r>
      <w:r w:rsidRPr="002F455B">
        <w:rPr>
          <w:rFonts w:ascii="Times New Roman" w:hAnsi="Times New Roman"/>
          <w:sz w:val="24"/>
          <w:szCs w:val="28"/>
        </w:rPr>
        <w:t>OBOX 4.5</w:t>
      </w:r>
      <w:r w:rsidRPr="002F455B">
        <w:rPr>
          <w:rFonts w:ascii="Times New Roman" w:hAnsi="Times New Roman" w:hint="eastAsia"/>
          <w:sz w:val="24"/>
          <w:szCs w:val="28"/>
        </w:rPr>
        <w:t>%</w:t>
      </w:r>
      <w:r w:rsidRPr="002F455B">
        <w:rPr>
          <w:rFonts w:ascii="Times New Roman" w:hAnsi="Times New Roman" w:hint="eastAsia"/>
          <w:sz w:val="24"/>
          <w:szCs w:val="28"/>
        </w:rPr>
        <w:t>的股权。股权交易标的产权清晰，不存在抵押、质押及其他任何限制转让的情况，不涉及诉讼、仲裁事项或查封、冻结等司法措施，也不存在妨碍权属转移的其他情况。</w:t>
      </w:r>
    </w:p>
    <w:p w:rsidR="00883136" w:rsidRPr="002F455B" w:rsidRDefault="00883136" w:rsidP="00E21209">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6</w:t>
      </w:r>
      <w:r w:rsidRPr="002F455B">
        <w:rPr>
          <w:rFonts w:ascii="Times New Roman" w:hAnsi="Times New Roman"/>
          <w:b/>
          <w:sz w:val="24"/>
          <w:szCs w:val="28"/>
        </w:rPr>
        <w:t>、</w:t>
      </w:r>
      <w:r w:rsidRPr="002F455B">
        <w:rPr>
          <w:rFonts w:ascii="Times New Roman" w:hAnsi="Times New Roman" w:hint="eastAsia"/>
          <w:b/>
          <w:sz w:val="24"/>
          <w:szCs w:val="28"/>
        </w:rPr>
        <w:t>股权交易的定价政策、定价依据及合理性分析</w:t>
      </w:r>
    </w:p>
    <w:p w:rsidR="00883136" w:rsidRPr="002F455B" w:rsidRDefault="00883136" w:rsidP="0070207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根据</w:t>
      </w:r>
      <w:r w:rsidRPr="002F455B">
        <w:rPr>
          <w:rFonts w:ascii="Times New Roman" w:hAnsi="Times New Roman"/>
          <w:sz w:val="24"/>
          <w:szCs w:val="28"/>
        </w:rPr>
        <w:t>PKF Italia S.p.A.</w:t>
      </w:r>
      <w:r w:rsidRPr="002F455B">
        <w:rPr>
          <w:rFonts w:ascii="Times New Roman" w:hAnsi="Times New Roman" w:hint="eastAsia"/>
          <w:sz w:val="24"/>
          <w:szCs w:val="28"/>
        </w:rPr>
        <w:t>以</w:t>
      </w:r>
      <w:r w:rsidRPr="002F455B">
        <w:rPr>
          <w:rFonts w:ascii="Times New Roman" w:hAnsi="Times New Roman" w:hint="eastAsia"/>
          <w:sz w:val="24"/>
          <w:szCs w:val="28"/>
        </w:rPr>
        <w:t>2</w:t>
      </w:r>
      <w:r w:rsidRPr="002F455B">
        <w:rPr>
          <w:rFonts w:ascii="Times New Roman" w:hAnsi="Times New Roman"/>
          <w:sz w:val="24"/>
          <w:szCs w:val="28"/>
        </w:rPr>
        <w:t>021</w:t>
      </w:r>
      <w:r w:rsidRPr="002F455B">
        <w:rPr>
          <w:rFonts w:ascii="Times New Roman" w:hAnsi="Times New Roman" w:hint="eastAsia"/>
          <w:sz w:val="24"/>
          <w:szCs w:val="28"/>
        </w:rPr>
        <w:t>年</w:t>
      </w:r>
      <w:r w:rsidRPr="002F455B">
        <w:rPr>
          <w:rFonts w:ascii="Times New Roman" w:hAnsi="Times New Roman" w:hint="eastAsia"/>
          <w:sz w:val="24"/>
          <w:szCs w:val="28"/>
        </w:rPr>
        <w:t>9</w:t>
      </w:r>
      <w:r w:rsidRPr="002F455B">
        <w:rPr>
          <w:rFonts w:ascii="Times New Roman" w:hAnsi="Times New Roman" w:hint="eastAsia"/>
          <w:sz w:val="24"/>
          <w:szCs w:val="28"/>
        </w:rPr>
        <w:t>月</w:t>
      </w:r>
      <w:r w:rsidRPr="002F455B">
        <w:rPr>
          <w:rFonts w:ascii="Times New Roman" w:hAnsi="Times New Roman"/>
          <w:sz w:val="24"/>
          <w:szCs w:val="28"/>
        </w:rPr>
        <w:t>30</w:t>
      </w:r>
      <w:r w:rsidRPr="002F455B">
        <w:rPr>
          <w:rFonts w:ascii="Times New Roman" w:hAnsi="Times New Roman" w:hint="eastAsia"/>
          <w:sz w:val="24"/>
          <w:szCs w:val="28"/>
        </w:rPr>
        <w:t>日为评估基准日出具的估值报告“</w:t>
      </w:r>
      <w:r w:rsidRPr="002F455B">
        <w:rPr>
          <w:rFonts w:ascii="Times New Roman" w:hAnsi="Times New Roman"/>
          <w:sz w:val="24"/>
          <w:szCs w:val="28"/>
        </w:rPr>
        <w:t>VALUATION OF ROBOX S.p.A.AS AT SEPTEMBER 30</w:t>
      </w:r>
      <w:r w:rsidRPr="0052144C">
        <w:rPr>
          <w:rFonts w:ascii="Times New Roman" w:hAnsi="Times New Roman"/>
          <w:sz w:val="24"/>
          <w:szCs w:val="28"/>
          <w:vertAlign w:val="superscript"/>
        </w:rPr>
        <w:t>TH</w:t>
      </w:r>
      <w:r w:rsidRPr="002F455B">
        <w:rPr>
          <w:rFonts w:ascii="Times New Roman" w:hAnsi="Times New Roman"/>
          <w:sz w:val="24"/>
          <w:szCs w:val="28"/>
        </w:rPr>
        <w:t>, 2021</w:t>
      </w:r>
      <w:r w:rsidR="009B6088" w:rsidRPr="002F455B">
        <w:rPr>
          <w:rFonts w:ascii="宋体" w:hAnsi="宋体"/>
          <w:sz w:val="24"/>
          <w:szCs w:val="28"/>
        </w:rPr>
        <w:t>”</w:t>
      </w:r>
      <w:r w:rsidRPr="002F455B">
        <w:rPr>
          <w:rFonts w:ascii="Times New Roman" w:hAnsi="Times New Roman" w:hint="eastAsia"/>
          <w:sz w:val="24"/>
          <w:szCs w:val="28"/>
        </w:rPr>
        <w:t>以及</w:t>
      </w:r>
      <w:proofErr w:type="gramStart"/>
      <w:r w:rsidRPr="002F455B">
        <w:rPr>
          <w:rFonts w:ascii="Times New Roman" w:hAnsi="Times New Roman" w:hint="eastAsia"/>
          <w:sz w:val="24"/>
          <w:szCs w:val="28"/>
        </w:rPr>
        <w:t>北京国融兴华</w:t>
      </w:r>
      <w:proofErr w:type="gramEnd"/>
      <w:r w:rsidRPr="002F455B">
        <w:rPr>
          <w:rFonts w:ascii="Times New Roman" w:hAnsi="Times New Roman" w:hint="eastAsia"/>
          <w:sz w:val="24"/>
          <w:szCs w:val="28"/>
        </w:rPr>
        <w:t>资产评估有限责任公司出具的《关于对</w:t>
      </w:r>
      <w:r w:rsidRPr="002F455B">
        <w:rPr>
          <w:rFonts w:ascii="Times New Roman" w:hAnsi="Times New Roman" w:hint="eastAsia"/>
          <w:sz w:val="24"/>
          <w:szCs w:val="28"/>
        </w:rPr>
        <w:t xml:space="preserve">PKF Italia S.p.A. </w:t>
      </w:r>
      <w:r w:rsidRPr="002F455B">
        <w:rPr>
          <w:rFonts w:ascii="Times New Roman" w:hAnsi="Times New Roman" w:hint="eastAsia"/>
          <w:sz w:val="24"/>
          <w:szCs w:val="28"/>
        </w:rPr>
        <w:t>出具的“</w:t>
      </w:r>
      <w:r w:rsidRPr="002F455B">
        <w:rPr>
          <w:rFonts w:ascii="Times New Roman" w:hAnsi="Times New Roman"/>
          <w:sz w:val="24"/>
          <w:szCs w:val="28"/>
        </w:rPr>
        <w:t xml:space="preserve">VALUATION OF </w:t>
      </w:r>
      <w:r w:rsidRPr="002F455B">
        <w:rPr>
          <w:rFonts w:ascii="Times New Roman" w:hAnsi="Times New Roman"/>
          <w:sz w:val="24"/>
          <w:szCs w:val="28"/>
        </w:rPr>
        <w:lastRenderedPageBreak/>
        <w:t>ROBOX S.p.A.AS AT SEPTEMBER 30</w:t>
      </w:r>
      <w:r w:rsidRPr="0052144C">
        <w:rPr>
          <w:rFonts w:ascii="Times New Roman" w:hAnsi="Times New Roman"/>
          <w:sz w:val="24"/>
          <w:szCs w:val="28"/>
          <w:vertAlign w:val="superscript"/>
        </w:rPr>
        <w:t>TH</w:t>
      </w:r>
      <w:r w:rsidRPr="002F455B">
        <w:rPr>
          <w:rFonts w:ascii="Times New Roman" w:hAnsi="Times New Roman"/>
          <w:sz w:val="24"/>
          <w:szCs w:val="28"/>
        </w:rPr>
        <w:t>, 2021</w:t>
      </w:r>
      <w:r w:rsidR="00FD1998" w:rsidRPr="002F455B">
        <w:rPr>
          <w:rFonts w:ascii="宋体" w:hAnsi="宋体"/>
          <w:sz w:val="24"/>
          <w:szCs w:val="28"/>
        </w:rPr>
        <w:t>”</w:t>
      </w:r>
      <w:r w:rsidRPr="002F455B">
        <w:rPr>
          <w:rFonts w:ascii="Times New Roman" w:hAnsi="Times New Roman" w:hint="eastAsia"/>
          <w:sz w:val="24"/>
          <w:szCs w:val="28"/>
        </w:rPr>
        <w:t>复核报告》（</w:t>
      </w:r>
      <w:proofErr w:type="gramStart"/>
      <w:r w:rsidRPr="002F455B">
        <w:rPr>
          <w:rFonts w:ascii="Times New Roman" w:hAnsi="Times New Roman" w:hint="eastAsia"/>
          <w:sz w:val="24"/>
          <w:szCs w:val="28"/>
        </w:rPr>
        <w:t>国融兴华</w:t>
      </w:r>
      <w:proofErr w:type="gramEnd"/>
      <w:r w:rsidRPr="002F455B">
        <w:rPr>
          <w:rFonts w:ascii="Times New Roman" w:hAnsi="Times New Roman" w:hint="eastAsia"/>
          <w:sz w:val="24"/>
          <w:szCs w:val="28"/>
        </w:rPr>
        <w:t>复核字</w:t>
      </w:r>
      <w:r w:rsidRPr="002F455B">
        <w:rPr>
          <w:rFonts w:ascii="Times New Roman" w:hAnsi="Times New Roman" w:hint="eastAsia"/>
          <w:sz w:val="24"/>
          <w:szCs w:val="28"/>
        </w:rPr>
        <w:t>[202</w:t>
      </w:r>
      <w:r w:rsidRPr="002F455B">
        <w:rPr>
          <w:rFonts w:ascii="Times New Roman" w:hAnsi="Times New Roman"/>
          <w:sz w:val="24"/>
          <w:szCs w:val="28"/>
        </w:rPr>
        <w:t>2</w:t>
      </w:r>
      <w:r w:rsidRPr="002F455B">
        <w:rPr>
          <w:rFonts w:ascii="Times New Roman" w:hAnsi="Times New Roman" w:hint="eastAsia"/>
          <w:sz w:val="24"/>
          <w:szCs w:val="28"/>
        </w:rPr>
        <w:t>]</w:t>
      </w:r>
      <w:r w:rsidRPr="002F455B">
        <w:rPr>
          <w:rFonts w:ascii="Times New Roman" w:hAnsi="Times New Roman" w:hint="eastAsia"/>
          <w:sz w:val="24"/>
          <w:szCs w:val="28"/>
        </w:rPr>
        <w:t>第</w:t>
      </w:r>
      <w:r w:rsidRPr="002F455B">
        <w:rPr>
          <w:rFonts w:ascii="Times New Roman" w:hAnsi="Times New Roman"/>
          <w:sz w:val="24"/>
          <w:szCs w:val="28"/>
        </w:rPr>
        <w:t>010002</w:t>
      </w:r>
      <w:r w:rsidRPr="002F455B">
        <w:rPr>
          <w:rFonts w:ascii="Times New Roman" w:hAnsi="Times New Roman" w:hint="eastAsia"/>
          <w:sz w:val="24"/>
          <w:szCs w:val="28"/>
        </w:rPr>
        <w:t>号），截至</w:t>
      </w:r>
      <w:r w:rsidRPr="002F455B">
        <w:rPr>
          <w:rFonts w:ascii="Times New Roman" w:hAnsi="Times New Roman" w:hint="eastAsia"/>
          <w:sz w:val="24"/>
          <w:szCs w:val="28"/>
        </w:rPr>
        <w:t>2</w:t>
      </w:r>
      <w:r w:rsidRPr="002F455B">
        <w:rPr>
          <w:rFonts w:ascii="Times New Roman" w:hAnsi="Times New Roman"/>
          <w:sz w:val="24"/>
          <w:szCs w:val="28"/>
        </w:rPr>
        <w:t>021</w:t>
      </w:r>
      <w:r w:rsidRPr="002F455B">
        <w:rPr>
          <w:rFonts w:ascii="Times New Roman" w:hAnsi="Times New Roman" w:hint="eastAsia"/>
          <w:sz w:val="24"/>
          <w:szCs w:val="28"/>
        </w:rPr>
        <w:t>年</w:t>
      </w:r>
      <w:r w:rsidRPr="002F455B">
        <w:rPr>
          <w:rFonts w:ascii="Times New Roman" w:hAnsi="Times New Roman" w:hint="eastAsia"/>
          <w:sz w:val="24"/>
          <w:szCs w:val="28"/>
        </w:rPr>
        <w:t>9</w:t>
      </w:r>
      <w:r w:rsidRPr="002F455B">
        <w:rPr>
          <w:rFonts w:ascii="Times New Roman" w:hAnsi="Times New Roman" w:hint="eastAsia"/>
          <w:sz w:val="24"/>
          <w:szCs w:val="28"/>
        </w:rPr>
        <w:t>月</w:t>
      </w:r>
      <w:r w:rsidRPr="002F455B">
        <w:rPr>
          <w:rFonts w:ascii="Times New Roman" w:hAnsi="Times New Roman" w:hint="eastAsia"/>
          <w:sz w:val="24"/>
          <w:szCs w:val="28"/>
        </w:rPr>
        <w:t>3</w:t>
      </w:r>
      <w:r w:rsidRPr="002F455B">
        <w:rPr>
          <w:rFonts w:ascii="Times New Roman" w:hAnsi="Times New Roman"/>
          <w:sz w:val="24"/>
          <w:szCs w:val="28"/>
        </w:rPr>
        <w:t>0</w:t>
      </w:r>
      <w:r w:rsidRPr="002F455B">
        <w:rPr>
          <w:rFonts w:ascii="Times New Roman" w:hAnsi="Times New Roman" w:hint="eastAsia"/>
          <w:sz w:val="24"/>
          <w:szCs w:val="28"/>
        </w:rPr>
        <w:t>日，</w:t>
      </w: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股东全部权益价值的评估值为</w:t>
      </w:r>
      <w:r w:rsidRPr="002F455B">
        <w:rPr>
          <w:rFonts w:ascii="Times New Roman" w:hAnsi="Times New Roman" w:hint="eastAsia"/>
          <w:sz w:val="24"/>
          <w:szCs w:val="28"/>
        </w:rPr>
        <w:t>2,</w:t>
      </w:r>
      <w:r w:rsidRPr="002F455B">
        <w:rPr>
          <w:rFonts w:ascii="Times New Roman" w:hAnsi="Times New Roman"/>
          <w:sz w:val="24"/>
          <w:szCs w:val="28"/>
        </w:rPr>
        <w:t>250</w:t>
      </w:r>
      <w:r w:rsidRPr="002F455B">
        <w:rPr>
          <w:rFonts w:ascii="Times New Roman" w:hAnsi="Times New Roman" w:hint="eastAsia"/>
          <w:sz w:val="24"/>
          <w:szCs w:val="28"/>
        </w:rPr>
        <w:t>万欧元，经过公司与</w:t>
      </w:r>
      <w:proofErr w:type="spellStart"/>
      <w:r w:rsidRPr="002F455B">
        <w:rPr>
          <w:rFonts w:ascii="Times New Roman" w:hAnsi="Times New Roman" w:hint="eastAsia"/>
          <w:sz w:val="24"/>
          <w:szCs w:val="28"/>
        </w:rPr>
        <w:t>M</w:t>
      </w:r>
      <w:r w:rsidRPr="002F455B">
        <w:rPr>
          <w:rFonts w:ascii="Times New Roman" w:hAnsi="Times New Roman"/>
          <w:sz w:val="24"/>
          <w:szCs w:val="28"/>
        </w:rPr>
        <w:t>arzio</w:t>
      </w:r>
      <w:proofErr w:type="spellEnd"/>
      <w:r w:rsidRPr="002F455B">
        <w:rPr>
          <w:rFonts w:ascii="Times New Roman" w:hAnsi="Times New Roman" w:hint="eastAsia"/>
          <w:sz w:val="24"/>
          <w:szCs w:val="28"/>
        </w:rPr>
        <w:t xml:space="preserve"> </w:t>
      </w:r>
      <w:proofErr w:type="spellStart"/>
      <w:r w:rsidRPr="002F455B">
        <w:rPr>
          <w:rFonts w:ascii="Times New Roman" w:hAnsi="Times New Roman" w:hint="eastAsia"/>
          <w:sz w:val="24"/>
          <w:szCs w:val="28"/>
        </w:rPr>
        <w:t>M</w:t>
      </w:r>
      <w:r w:rsidRPr="002F455B">
        <w:rPr>
          <w:rFonts w:ascii="Times New Roman" w:hAnsi="Times New Roman"/>
          <w:sz w:val="24"/>
          <w:szCs w:val="28"/>
        </w:rPr>
        <w:t>ontorsi</w:t>
      </w:r>
      <w:proofErr w:type="spellEnd"/>
      <w:r w:rsidRPr="002F455B">
        <w:rPr>
          <w:rFonts w:ascii="Times New Roman" w:hAnsi="Times New Roman" w:hint="eastAsia"/>
          <w:sz w:val="24"/>
          <w:szCs w:val="28"/>
        </w:rPr>
        <w:t>、</w:t>
      </w:r>
      <w:r w:rsidRPr="002F455B">
        <w:rPr>
          <w:rFonts w:ascii="Times New Roman" w:hAnsi="Times New Roman" w:hint="eastAsia"/>
          <w:sz w:val="24"/>
          <w:szCs w:val="28"/>
        </w:rPr>
        <w:t>L</w:t>
      </w:r>
      <w:r w:rsidRPr="002F455B">
        <w:rPr>
          <w:rFonts w:ascii="Times New Roman" w:hAnsi="Times New Roman"/>
          <w:sz w:val="24"/>
          <w:szCs w:val="28"/>
        </w:rPr>
        <w:t>ea</w:t>
      </w:r>
      <w:r w:rsidRPr="002F455B">
        <w:rPr>
          <w:rFonts w:ascii="Times New Roman" w:hAnsi="Times New Roman" w:hint="eastAsia"/>
          <w:sz w:val="24"/>
          <w:szCs w:val="28"/>
        </w:rPr>
        <w:t xml:space="preserve"> </w:t>
      </w:r>
      <w:proofErr w:type="spellStart"/>
      <w:r w:rsidRPr="002F455B">
        <w:rPr>
          <w:rFonts w:ascii="Times New Roman" w:hAnsi="Times New Roman" w:hint="eastAsia"/>
          <w:sz w:val="24"/>
          <w:szCs w:val="28"/>
        </w:rPr>
        <w:t>M</w:t>
      </w:r>
      <w:r w:rsidRPr="002F455B">
        <w:rPr>
          <w:rFonts w:ascii="Times New Roman" w:hAnsi="Times New Roman"/>
          <w:sz w:val="24"/>
          <w:szCs w:val="28"/>
        </w:rPr>
        <w:t>ontorsi</w:t>
      </w:r>
      <w:proofErr w:type="spellEnd"/>
      <w:r w:rsidRPr="002F455B">
        <w:rPr>
          <w:rFonts w:ascii="Times New Roman" w:hAnsi="Times New Roman" w:hint="eastAsia"/>
          <w:sz w:val="24"/>
          <w:szCs w:val="28"/>
        </w:rPr>
        <w:t>友好协商，最终确定收购</w:t>
      </w:r>
      <w:r w:rsidRPr="002F455B">
        <w:rPr>
          <w:rFonts w:ascii="Times New Roman" w:hAnsi="Times New Roman" w:hint="eastAsia"/>
          <w:sz w:val="24"/>
          <w:szCs w:val="28"/>
        </w:rPr>
        <w:t>R</w:t>
      </w:r>
      <w:r w:rsidRPr="002F455B">
        <w:rPr>
          <w:rFonts w:ascii="Times New Roman" w:hAnsi="Times New Roman"/>
          <w:sz w:val="24"/>
          <w:szCs w:val="28"/>
        </w:rPr>
        <w:t>OBOX 9</w:t>
      </w:r>
      <w:r w:rsidRPr="002F455B">
        <w:rPr>
          <w:rFonts w:ascii="Times New Roman" w:hAnsi="Times New Roman" w:hint="eastAsia"/>
          <w:sz w:val="24"/>
          <w:szCs w:val="28"/>
        </w:rPr>
        <w:t>%</w:t>
      </w:r>
      <w:r w:rsidRPr="002F455B">
        <w:rPr>
          <w:rFonts w:ascii="Times New Roman" w:hAnsi="Times New Roman" w:hint="eastAsia"/>
          <w:sz w:val="24"/>
          <w:szCs w:val="28"/>
        </w:rPr>
        <w:t>股权的价格为</w:t>
      </w:r>
      <w:r w:rsidRPr="002F455B">
        <w:rPr>
          <w:rFonts w:ascii="Times New Roman" w:hAnsi="Times New Roman" w:hint="eastAsia"/>
          <w:sz w:val="24"/>
          <w:szCs w:val="28"/>
        </w:rPr>
        <w:t>2</w:t>
      </w:r>
      <w:r w:rsidRPr="002F455B">
        <w:rPr>
          <w:rFonts w:ascii="Times New Roman" w:hAnsi="Times New Roman"/>
          <w:sz w:val="24"/>
          <w:szCs w:val="28"/>
        </w:rPr>
        <w:t>00</w:t>
      </w:r>
      <w:r w:rsidRPr="002F455B">
        <w:rPr>
          <w:rFonts w:ascii="Times New Roman" w:hAnsi="Times New Roman" w:hint="eastAsia"/>
          <w:sz w:val="24"/>
          <w:szCs w:val="28"/>
        </w:rPr>
        <w:t>万欧元，与评估值差异较小。</w:t>
      </w:r>
    </w:p>
    <w:p w:rsidR="00531590" w:rsidRPr="002F455B" w:rsidRDefault="00531590" w:rsidP="00531590">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hint="eastAsia"/>
          <w:b/>
          <w:bCs/>
          <w:sz w:val="24"/>
          <w:szCs w:val="32"/>
        </w:rPr>
        <w:t>四、本次交易协议的主要内容和履约安排</w:t>
      </w:r>
    </w:p>
    <w:p w:rsidR="00707B59" w:rsidRPr="002F455B" w:rsidRDefault="00707B59" w:rsidP="00707B59">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w:t>
      </w:r>
      <w:r>
        <w:rPr>
          <w:rFonts w:ascii="Times New Roman" w:hAnsi="Times New Roman" w:hint="eastAsia"/>
          <w:b/>
          <w:sz w:val="24"/>
          <w:szCs w:val="28"/>
        </w:rPr>
        <w:t>一</w:t>
      </w:r>
      <w:r w:rsidRPr="002F455B">
        <w:rPr>
          <w:rFonts w:ascii="Times New Roman" w:hAnsi="Times New Roman" w:hint="eastAsia"/>
          <w:b/>
          <w:sz w:val="24"/>
          <w:szCs w:val="28"/>
        </w:rPr>
        <w:t>）《技术许可协议》的主要内容</w:t>
      </w:r>
    </w:p>
    <w:p w:rsidR="00707B59" w:rsidRPr="002F455B" w:rsidRDefault="00707B59" w:rsidP="00707B59">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1</w:t>
      </w:r>
      <w:r w:rsidRPr="002F455B">
        <w:rPr>
          <w:rFonts w:ascii="Times New Roman" w:hAnsi="Times New Roman" w:hint="eastAsia"/>
          <w:b/>
          <w:sz w:val="24"/>
          <w:szCs w:val="28"/>
        </w:rPr>
        <w:t>、协议主体</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甲方：埃夫特智能装备股份有限公司</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乙方：</w:t>
      </w:r>
      <w:proofErr w:type="gramStart"/>
      <w:r w:rsidRPr="002F455B">
        <w:rPr>
          <w:rFonts w:ascii="Times New Roman" w:hAnsi="Times New Roman"/>
          <w:sz w:val="24"/>
          <w:szCs w:val="28"/>
        </w:rPr>
        <w:t>ROBOX S.p.A.</w:t>
      </w:r>
      <w:proofErr w:type="gramEnd"/>
    </w:p>
    <w:p w:rsidR="00707B59" w:rsidRPr="002F455B" w:rsidRDefault="00707B59" w:rsidP="00707B59">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2</w:t>
      </w:r>
      <w:r w:rsidRPr="002F455B">
        <w:rPr>
          <w:rFonts w:ascii="Times New Roman" w:hAnsi="Times New Roman" w:hint="eastAsia"/>
          <w:b/>
          <w:sz w:val="24"/>
          <w:szCs w:val="28"/>
        </w:rPr>
        <w:t>、协议范围</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包含技术许可内容和</w:t>
      </w: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向公司提供的服务，其中：</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1</w:t>
      </w:r>
      <w:r w:rsidRPr="002F455B">
        <w:rPr>
          <w:rFonts w:ascii="Times New Roman" w:hAnsi="Times New Roman" w:hint="eastAsia"/>
          <w:sz w:val="24"/>
          <w:szCs w:val="28"/>
        </w:rPr>
        <w:t>）技术许可的内容</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ROBOX</w:t>
      </w:r>
      <w:r w:rsidRPr="002F455B">
        <w:rPr>
          <w:rFonts w:ascii="Times New Roman" w:hAnsi="Times New Roman"/>
          <w:sz w:val="24"/>
          <w:szCs w:val="28"/>
        </w:rPr>
        <w:t>根据多年在控制器方面积累的技术经验，研究开发的技术源码，包括：</w:t>
      </w:r>
      <w:r w:rsidRPr="002F455B">
        <w:rPr>
          <w:rFonts w:ascii="Times New Roman" w:hAnsi="Times New Roman"/>
          <w:sz w:val="24"/>
          <w:szCs w:val="28"/>
        </w:rPr>
        <w:t>“RTM</w:t>
      </w:r>
      <w:r w:rsidRPr="002F455B">
        <w:rPr>
          <w:rFonts w:ascii="Times New Roman" w:hAnsi="Times New Roman"/>
          <w:sz w:val="24"/>
          <w:szCs w:val="28"/>
        </w:rPr>
        <w:t>和</w:t>
      </w:r>
      <w:r w:rsidRPr="002F455B">
        <w:rPr>
          <w:rFonts w:ascii="Times New Roman" w:hAnsi="Times New Roman"/>
          <w:sz w:val="24"/>
          <w:szCs w:val="28"/>
        </w:rPr>
        <w:t>OB</w:t>
      </w:r>
      <w:r w:rsidRPr="002F455B">
        <w:rPr>
          <w:rFonts w:ascii="Times New Roman" w:hAnsi="Times New Roman"/>
          <w:sz w:val="24"/>
          <w:szCs w:val="28"/>
        </w:rPr>
        <w:t>源代码及文件</w:t>
      </w:r>
      <w:r w:rsidRPr="002F455B">
        <w:rPr>
          <w:rFonts w:ascii="Times New Roman" w:hAnsi="Times New Roman"/>
          <w:sz w:val="24"/>
          <w:szCs w:val="28"/>
        </w:rPr>
        <w:t>”“RPE</w:t>
      </w:r>
      <w:r w:rsidRPr="002F455B">
        <w:rPr>
          <w:rFonts w:ascii="Times New Roman" w:hAnsi="Times New Roman"/>
          <w:sz w:val="24"/>
          <w:szCs w:val="28"/>
        </w:rPr>
        <w:t>和</w:t>
      </w:r>
      <w:r w:rsidRPr="002F455B">
        <w:rPr>
          <w:rFonts w:ascii="Times New Roman" w:hAnsi="Times New Roman"/>
          <w:sz w:val="24"/>
          <w:szCs w:val="28"/>
        </w:rPr>
        <w:t>RPL</w:t>
      </w:r>
      <w:r w:rsidRPr="002F455B">
        <w:rPr>
          <w:rFonts w:ascii="Times New Roman" w:hAnsi="Times New Roman"/>
          <w:sz w:val="24"/>
          <w:szCs w:val="28"/>
        </w:rPr>
        <w:t>源代码及文件</w:t>
      </w:r>
      <w:r w:rsidRPr="002F455B">
        <w:rPr>
          <w:rFonts w:ascii="Times New Roman" w:hAnsi="Times New Roman"/>
          <w:sz w:val="24"/>
          <w:szCs w:val="28"/>
        </w:rPr>
        <w:t>”“RTE</w:t>
      </w:r>
      <w:r w:rsidRPr="002F455B">
        <w:rPr>
          <w:rFonts w:ascii="Times New Roman" w:hAnsi="Times New Roman"/>
          <w:sz w:val="24"/>
          <w:szCs w:val="28"/>
        </w:rPr>
        <w:t>源代码及文件</w:t>
      </w:r>
      <w:r w:rsidRPr="002F455B">
        <w:rPr>
          <w:rFonts w:ascii="Times New Roman" w:hAnsi="Times New Roman"/>
          <w:sz w:val="24"/>
          <w:szCs w:val="28"/>
        </w:rPr>
        <w:t>”</w:t>
      </w:r>
      <w:proofErr w:type="gramStart"/>
      <w:r w:rsidRPr="002F455B">
        <w:rPr>
          <w:rFonts w:ascii="Times New Roman" w:hAnsi="Times New Roman" w:hint="eastAsia"/>
          <w:sz w:val="24"/>
          <w:szCs w:val="28"/>
        </w:rPr>
        <w:t>授权埃夫特使</w:t>
      </w:r>
      <w:proofErr w:type="gramEnd"/>
      <w:r w:rsidRPr="002F455B">
        <w:rPr>
          <w:rFonts w:ascii="Times New Roman" w:hAnsi="Times New Roman" w:hint="eastAsia"/>
          <w:sz w:val="24"/>
          <w:szCs w:val="28"/>
        </w:rPr>
        <w:t>用。该项授权的性质为</w:t>
      </w:r>
      <w:r w:rsidRPr="002F455B">
        <w:rPr>
          <w:rFonts w:ascii="Times New Roman" w:hAnsi="Times New Roman"/>
          <w:sz w:val="24"/>
          <w:szCs w:val="28"/>
        </w:rPr>
        <w:t>非</w:t>
      </w:r>
      <w:r w:rsidRPr="002F455B">
        <w:rPr>
          <w:rFonts w:ascii="Times New Roman" w:hAnsi="Times New Roman" w:hint="eastAsia"/>
          <w:sz w:val="24"/>
          <w:szCs w:val="28"/>
        </w:rPr>
        <w:t>排他性</w:t>
      </w:r>
      <w:r w:rsidRPr="002F455B">
        <w:rPr>
          <w:rFonts w:ascii="Times New Roman" w:hAnsi="Times New Roman"/>
          <w:sz w:val="24"/>
          <w:szCs w:val="28"/>
        </w:rPr>
        <w:t>、</w:t>
      </w:r>
      <w:r w:rsidRPr="002F455B">
        <w:rPr>
          <w:rFonts w:ascii="Times New Roman" w:hAnsi="Times New Roman" w:hint="eastAsia"/>
          <w:sz w:val="24"/>
          <w:szCs w:val="28"/>
        </w:rPr>
        <w:t>永久的</w:t>
      </w:r>
      <w:r w:rsidRPr="002F455B">
        <w:rPr>
          <w:rFonts w:ascii="Times New Roman" w:hAnsi="Times New Roman"/>
          <w:sz w:val="24"/>
          <w:szCs w:val="28"/>
        </w:rPr>
        <w:t>、不可撤销</w:t>
      </w:r>
      <w:r w:rsidRPr="002F455B">
        <w:rPr>
          <w:rFonts w:ascii="Times New Roman" w:hAnsi="Times New Roman" w:hint="eastAsia"/>
          <w:sz w:val="24"/>
          <w:szCs w:val="28"/>
        </w:rPr>
        <w:t>的、全球性、</w:t>
      </w:r>
      <w:r w:rsidRPr="002F455B">
        <w:rPr>
          <w:rFonts w:ascii="Times New Roman" w:hAnsi="Times New Roman"/>
          <w:sz w:val="24"/>
          <w:szCs w:val="28"/>
        </w:rPr>
        <w:t>不可转</w:t>
      </w:r>
      <w:r w:rsidRPr="002F455B">
        <w:rPr>
          <w:rFonts w:ascii="Times New Roman" w:hAnsi="Times New Roman" w:hint="eastAsia"/>
          <w:sz w:val="24"/>
          <w:szCs w:val="28"/>
        </w:rPr>
        <w:t>让的、可收取版税</w:t>
      </w:r>
      <w:r w:rsidRPr="002F455B">
        <w:rPr>
          <w:rFonts w:ascii="Times New Roman" w:hAnsi="Times New Roman"/>
          <w:sz w:val="24"/>
          <w:szCs w:val="28"/>
        </w:rPr>
        <w:t>的许可</w:t>
      </w:r>
      <w:r w:rsidRPr="002F455B">
        <w:rPr>
          <w:rFonts w:ascii="Times New Roman" w:hAnsi="Times New Roman" w:hint="eastAsia"/>
          <w:sz w:val="24"/>
          <w:szCs w:val="28"/>
        </w:rPr>
        <w:t>。</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2</w:t>
      </w:r>
      <w:r w:rsidRPr="002F455B">
        <w:rPr>
          <w:rFonts w:ascii="Times New Roman" w:hAnsi="Times New Roman" w:hint="eastAsia"/>
          <w:sz w:val="24"/>
          <w:szCs w:val="28"/>
        </w:rPr>
        <w:t>）</w:t>
      </w: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向公司提供的服务事项</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①</w:t>
      </w:r>
      <w:r w:rsidRPr="002F455B">
        <w:rPr>
          <w:rFonts w:ascii="Times New Roman" w:hAnsi="Times New Roman" w:hint="eastAsia"/>
          <w:sz w:val="24"/>
          <w:szCs w:val="28"/>
        </w:rPr>
        <w:t>RTE</w:t>
      </w:r>
      <w:r w:rsidRPr="002F455B">
        <w:rPr>
          <w:rFonts w:ascii="Times New Roman" w:hAnsi="Times New Roman" w:hint="eastAsia"/>
          <w:sz w:val="24"/>
          <w:szCs w:val="28"/>
        </w:rPr>
        <w:t>操作系统的持续维护和优化；</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②持续优化现有的现场总线协议；</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③持续维护和优化现有技术，包括但不限于</w:t>
      </w:r>
      <w:r w:rsidRPr="002F455B">
        <w:rPr>
          <w:rFonts w:ascii="Times New Roman" w:hAnsi="Times New Roman" w:hint="eastAsia"/>
          <w:sz w:val="24"/>
          <w:szCs w:val="28"/>
        </w:rPr>
        <w:t>RTE</w:t>
      </w:r>
      <w:r w:rsidRPr="002F455B">
        <w:rPr>
          <w:rFonts w:ascii="Times New Roman" w:hAnsi="Times New Roman" w:hint="eastAsia"/>
          <w:sz w:val="24"/>
          <w:szCs w:val="28"/>
        </w:rPr>
        <w:t>、</w:t>
      </w:r>
      <w:r w:rsidRPr="002F455B">
        <w:rPr>
          <w:rFonts w:ascii="Times New Roman" w:hAnsi="Times New Roman" w:hint="eastAsia"/>
          <w:sz w:val="24"/>
          <w:szCs w:val="28"/>
        </w:rPr>
        <w:t>RDE</w:t>
      </w:r>
      <w:r w:rsidRPr="002F455B">
        <w:rPr>
          <w:rFonts w:ascii="Times New Roman" w:hAnsi="Times New Roman" w:hint="eastAsia"/>
          <w:sz w:val="24"/>
          <w:szCs w:val="28"/>
        </w:rPr>
        <w:t>和所有其他</w:t>
      </w:r>
      <w:r w:rsidRPr="002F455B">
        <w:rPr>
          <w:rFonts w:ascii="Times New Roman" w:hAnsi="Times New Roman"/>
          <w:sz w:val="24"/>
          <w:szCs w:val="28"/>
        </w:rPr>
        <w:t>ROBOX</w:t>
      </w:r>
      <w:r w:rsidRPr="002F455B">
        <w:rPr>
          <w:rFonts w:ascii="Times New Roman" w:hAnsi="Times New Roman" w:hint="eastAsia"/>
          <w:sz w:val="24"/>
          <w:szCs w:val="28"/>
        </w:rPr>
        <w:t xml:space="preserve"> SW</w:t>
      </w:r>
      <w:r w:rsidRPr="002F455B">
        <w:rPr>
          <w:rFonts w:ascii="Times New Roman" w:hAnsi="Times New Roman" w:hint="eastAsia"/>
          <w:sz w:val="24"/>
          <w:szCs w:val="28"/>
        </w:rPr>
        <w:t>工具；</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④埃夫特技术团队要求的其他技术支持；</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⑤根据埃夫特的客户需求和发展要求，在埃夫特的指令下</w:t>
      </w:r>
      <w:r w:rsidRPr="002F455B">
        <w:rPr>
          <w:rFonts w:ascii="Times New Roman" w:hAnsi="Times New Roman"/>
          <w:sz w:val="24"/>
          <w:szCs w:val="28"/>
        </w:rPr>
        <w:t>ROBOX</w:t>
      </w:r>
      <w:r w:rsidRPr="002F455B">
        <w:rPr>
          <w:rFonts w:ascii="Times New Roman" w:hAnsi="Times New Roman" w:hint="eastAsia"/>
          <w:sz w:val="24"/>
          <w:szCs w:val="28"/>
        </w:rPr>
        <w:t>进一步开发和实施包括</w:t>
      </w:r>
      <w:r w:rsidRPr="002F455B">
        <w:rPr>
          <w:rFonts w:ascii="Times New Roman" w:hAnsi="Times New Roman" w:hint="eastAsia"/>
          <w:sz w:val="24"/>
          <w:szCs w:val="28"/>
        </w:rPr>
        <w:t>RP-3</w:t>
      </w:r>
      <w:r w:rsidRPr="002F455B">
        <w:rPr>
          <w:rFonts w:ascii="Times New Roman" w:hAnsi="Times New Roman" w:hint="eastAsia"/>
          <w:sz w:val="24"/>
          <w:szCs w:val="28"/>
        </w:rPr>
        <w:t>、基础安全板、</w:t>
      </w:r>
      <w:r w:rsidRPr="002F455B">
        <w:rPr>
          <w:rFonts w:ascii="Times New Roman" w:hAnsi="Times New Roman" w:hint="eastAsia"/>
          <w:sz w:val="24"/>
          <w:szCs w:val="28"/>
        </w:rPr>
        <w:t>EC2X</w:t>
      </w:r>
      <w:r w:rsidRPr="002F455B">
        <w:rPr>
          <w:rFonts w:ascii="Times New Roman" w:hAnsi="Times New Roman" w:hint="eastAsia"/>
          <w:sz w:val="24"/>
          <w:szCs w:val="28"/>
        </w:rPr>
        <w:t>、升级版的安全处理器和相关认证在内的硬件控</w:t>
      </w:r>
      <w:r w:rsidRPr="002F455B">
        <w:rPr>
          <w:rFonts w:ascii="Times New Roman" w:hAnsi="Times New Roman" w:hint="eastAsia"/>
          <w:sz w:val="24"/>
          <w:szCs w:val="28"/>
        </w:rPr>
        <w:lastRenderedPageBreak/>
        <w:t>制平台。</w:t>
      </w:r>
    </w:p>
    <w:p w:rsidR="00707B59" w:rsidRPr="002F455B" w:rsidRDefault="00707B59" w:rsidP="00707B59">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3</w:t>
      </w:r>
      <w:r w:rsidRPr="002F455B">
        <w:rPr>
          <w:rFonts w:ascii="Times New Roman" w:hAnsi="Times New Roman" w:hint="eastAsia"/>
          <w:b/>
          <w:sz w:val="24"/>
          <w:szCs w:val="28"/>
        </w:rPr>
        <w:t>、技术许可的对价</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1</w:t>
      </w:r>
      <w:r w:rsidRPr="002F455B">
        <w:rPr>
          <w:rFonts w:ascii="Times New Roman" w:hAnsi="Times New Roman" w:hint="eastAsia"/>
          <w:sz w:val="24"/>
          <w:szCs w:val="28"/>
        </w:rPr>
        <w:t>）技术许可服务费为</w:t>
      </w:r>
      <w:r w:rsidRPr="002F455B">
        <w:rPr>
          <w:rFonts w:ascii="Times New Roman" w:hAnsi="Times New Roman" w:hint="eastAsia"/>
          <w:sz w:val="24"/>
          <w:szCs w:val="28"/>
        </w:rPr>
        <w:t>1</w:t>
      </w:r>
      <w:r w:rsidRPr="002F455B">
        <w:rPr>
          <w:rFonts w:ascii="Times New Roman" w:hAnsi="Times New Roman"/>
          <w:sz w:val="24"/>
          <w:szCs w:val="28"/>
        </w:rPr>
        <w:t>00</w:t>
      </w:r>
      <w:r w:rsidRPr="002F455B">
        <w:rPr>
          <w:rFonts w:ascii="Times New Roman" w:hAnsi="Times New Roman" w:hint="eastAsia"/>
          <w:sz w:val="24"/>
          <w:szCs w:val="28"/>
        </w:rPr>
        <w:t>万欧元</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2</w:t>
      </w:r>
      <w:r w:rsidRPr="002F455B">
        <w:rPr>
          <w:rFonts w:ascii="Times New Roman" w:hAnsi="Times New Roman" w:hint="eastAsia"/>
          <w:sz w:val="24"/>
          <w:szCs w:val="28"/>
        </w:rPr>
        <w:t>）特许权使用费基于使用</w:t>
      </w:r>
      <w:r w:rsidRPr="002F455B">
        <w:rPr>
          <w:rFonts w:ascii="Times New Roman" w:hAnsi="Times New Roman" w:hint="eastAsia"/>
          <w:sz w:val="24"/>
          <w:szCs w:val="28"/>
        </w:rPr>
        <w:t>ROBOX</w:t>
      </w:r>
      <w:r w:rsidRPr="002F455B">
        <w:rPr>
          <w:rFonts w:ascii="Times New Roman" w:hAnsi="Times New Roman" w:hint="eastAsia"/>
          <w:sz w:val="24"/>
          <w:szCs w:val="28"/>
        </w:rPr>
        <w:t>控制器的埃夫特机器人产量收取（使用</w:t>
      </w:r>
      <w:r w:rsidRPr="002F455B">
        <w:rPr>
          <w:rFonts w:ascii="Times New Roman" w:hAnsi="Times New Roman" w:hint="eastAsia"/>
          <w:sz w:val="24"/>
          <w:szCs w:val="28"/>
        </w:rPr>
        <w:t>ROBOX</w:t>
      </w:r>
      <w:r w:rsidRPr="002F455B">
        <w:rPr>
          <w:rFonts w:ascii="Times New Roman" w:hAnsi="Times New Roman" w:hint="eastAsia"/>
          <w:sz w:val="24"/>
          <w:szCs w:val="28"/>
        </w:rPr>
        <w:t>控制器数量不足</w:t>
      </w:r>
      <w:r w:rsidRPr="002F455B">
        <w:rPr>
          <w:rFonts w:ascii="Times New Roman" w:hAnsi="Times New Roman" w:hint="eastAsia"/>
          <w:sz w:val="24"/>
          <w:szCs w:val="28"/>
        </w:rPr>
        <w:t>75%</w:t>
      </w:r>
      <w:r w:rsidRPr="002F455B">
        <w:rPr>
          <w:rFonts w:ascii="Times New Roman" w:hAnsi="Times New Roman" w:hint="eastAsia"/>
          <w:sz w:val="24"/>
          <w:szCs w:val="28"/>
        </w:rPr>
        <w:t>的按</w:t>
      </w:r>
      <w:r w:rsidRPr="002F455B">
        <w:rPr>
          <w:rFonts w:ascii="Times New Roman" w:hAnsi="Times New Roman" w:hint="eastAsia"/>
          <w:sz w:val="24"/>
          <w:szCs w:val="28"/>
        </w:rPr>
        <w:t>75%</w:t>
      </w:r>
      <w:r w:rsidRPr="002F455B">
        <w:rPr>
          <w:rFonts w:ascii="Times New Roman" w:hAnsi="Times New Roman" w:hint="eastAsia"/>
          <w:sz w:val="24"/>
          <w:szCs w:val="28"/>
        </w:rPr>
        <w:t>收取），具体金额：</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571"/>
        <w:gridCol w:w="4575"/>
      </w:tblGrid>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b/>
                <w:bCs/>
                <w:kern w:val="0"/>
              </w:rPr>
            </w:pPr>
            <w:r w:rsidRPr="002F455B">
              <w:rPr>
                <w:rFonts w:ascii="Times New Roman" w:hAnsi="Times New Roman"/>
                <w:b/>
                <w:bCs/>
                <w:kern w:val="0"/>
              </w:rPr>
              <w:t>每年合计数量（从</w:t>
            </w:r>
            <w:proofErr w:type="gramStart"/>
            <w:r w:rsidRPr="002F455B">
              <w:rPr>
                <w:rFonts w:ascii="Times New Roman" w:hAnsi="Times New Roman"/>
                <w:b/>
                <w:bCs/>
                <w:kern w:val="0"/>
              </w:rPr>
              <w:t>每</w:t>
            </w:r>
            <w:r w:rsidRPr="002F455B">
              <w:rPr>
                <w:rFonts w:ascii="Times New Roman" w:hAnsi="Times New Roman"/>
                <w:b/>
                <w:bCs/>
                <w:kern w:val="0"/>
              </w:rPr>
              <w:t>1</w:t>
            </w:r>
            <w:r w:rsidRPr="002F455B">
              <w:rPr>
                <w:rFonts w:ascii="Times New Roman" w:hAnsi="Times New Roman"/>
                <w:b/>
                <w:bCs/>
                <w:kern w:val="0"/>
              </w:rPr>
              <w:t>月</w:t>
            </w:r>
            <w:proofErr w:type="gramEnd"/>
            <w:r w:rsidRPr="002F455B">
              <w:rPr>
                <w:rFonts w:ascii="Times New Roman" w:hAnsi="Times New Roman"/>
                <w:b/>
                <w:bCs/>
                <w:kern w:val="0"/>
              </w:rPr>
              <w:t>1</w:t>
            </w:r>
            <w:r w:rsidRPr="002F455B">
              <w:rPr>
                <w:rFonts w:ascii="Times New Roman" w:hAnsi="Times New Roman"/>
                <w:b/>
                <w:bCs/>
                <w:kern w:val="0"/>
              </w:rPr>
              <w:t>日起算）</w:t>
            </w:r>
          </w:p>
        </w:tc>
        <w:tc>
          <w:tcPr>
            <w:tcW w:w="2501" w:type="pct"/>
            <w:vAlign w:val="center"/>
          </w:tcPr>
          <w:p w:rsidR="00707B59" w:rsidRPr="002F455B" w:rsidRDefault="00707B59" w:rsidP="00411CCF">
            <w:pPr>
              <w:widowControl/>
              <w:jc w:val="center"/>
              <w:rPr>
                <w:rFonts w:ascii="Times New Roman" w:hAnsi="Times New Roman"/>
                <w:b/>
                <w:bCs/>
                <w:kern w:val="0"/>
              </w:rPr>
            </w:pPr>
            <w:r w:rsidRPr="002F455B">
              <w:rPr>
                <w:rFonts w:ascii="Times New Roman" w:hAnsi="Times New Roman"/>
                <w:b/>
                <w:bCs/>
                <w:kern w:val="0"/>
              </w:rPr>
              <w:t>每台特许权使用费</w:t>
            </w:r>
          </w:p>
        </w:tc>
      </w:tr>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0&lt;X&lt;2001</w:t>
            </w:r>
          </w:p>
        </w:tc>
        <w:tc>
          <w:tcPr>
            <w:tcW w:w="2501"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175€</w:t>
            </w:r>
          </w:p>
        </w:tc>
      </w:tr>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2001&lt;X&lt;4001</w:t>
            </w:r>
          </w:p>
        </w:tc>
        <w:tc>
          <w:tcPr>
            <w:tcW w:w="2501"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135€</w:t>
            </w:r>
          </w:p>
        </w:tc>
      </w:tr>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4001&lt;X&lt;6001</w:t>
            </w:r>
          </w:p>
        </w:tc>
        <w:tc>
          <w:tcPr>
            <w:tcW w:w="2501"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95€</w:t>
            </w:r>
          </w:p>
        </w:tc>
      </w:tr>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6001&lt;X&lt;8001</w:t>
            </w:r>
          </w:p>
        </w:tc>
        <w:tc>
          <w:tcPr>
            <w:tcW w:w="2501"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70€</w:t>
            </w:r>
          </w:p>
        </w:tc>
      </w:tr>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8001&lt;X&lt;10001</w:t>
            </w:r>
          </w:p>
        </w:tc>
        <w:tc>
          <w:tcPr>
            <w:tcW w:w="2501"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50€</w:t>
            </w:r>
          </w:p>
        </w:tc>
      </w:tr>
      <w:tr w:rsidR="00707B59" w:rsidRPr="002F455B" w:rsidTr="00411CCF">
        <w:trPr>
          <w:trHeight w:val="340"/>
          <w:jc w:val="center"/>
        </w:trPr>
        <w:tc>
          <w:tcPr>
            <w:tcW w:w="2499"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&gt;10001</w:t>
            </w:r>
          </w:p>
        </w:tc>
        <w:tc>
          <w:tcPr>
            <w:tcW w:w="2501" w:type="pct"/>
            <w:vAlign w:val="center"/>
          </w:tcPr>
          <w:p w:rsidR="00707B59" w:rsidRPr="002F455B" w:rsidRDefault="00707B59" w:rsidP="00411CCF">
            <w:pPr>
              <w:widowControl/>
              <w:jc w:val="center"/>
              <w:rPr>
                <w:rFonts w:ascii="Times New Roman" w:hAnsi="Times New Roman"/>
                <w:kern w:val="0"/>
              </w:rPr>
            </w:pPr>
            <w:r w:rsidRPr="002F455B">
              <w:rPr>
                <w:rFonts w:ascii="Times New Roman" w:hAnsi="Times New Roman"/>
                <w:kern w:val="0"/>
              </w:rPr>
              <w:t>30€</w:t>
            </w:r>
          </w:p>
        </w:tc>
      </w:tr>
    </w:tbl>
    <w:p w:rsidR="00707B59" w:rsidRPr="002F455B" w:rsidRDefault="00707B59" w:rsidP="00707B59">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4</w:t>
      </w:r>
      <w:r w:rsidRPr="002F455B">
        <w:rPr>
          <w:rFonts w:ascii="Times New Roman" w:hAnsi="Times New Roman" w:hint="eastAsia"/>
          <w:b/>
          <w:sz w:val="24"/>
          <w:szCs w:val="28"/>
        </w:rPr>
        <w:t>、付款方式</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1</w:t>
      </w:r>
      <w:r w:rsidRPr="002F455B">
        <w:rPr>
          <w:rFonts w:ascii="Times New Roman" w:hAnsi="Times New Roman" w:hint="eastAsia"/>
          <w:sz w:val="24"/>
          <w:szCs w:val="28"/>
        </w:rPr>
        <w:t>）许可费分</w:t>
      </w:r>
      <w:r w:rsidRPr="002F455B">
        <w:rPr>
          <w:rFonts w:ascii="Times New Roman" w:hAnsi="Times New Roman"/>
          <w:sz w:val="24"/>
          <w:szCs w:val="28"/>
        </w:rPr>
        <w:t>2</w:t>
      </w:r>
      <w:r w:rsidRPr="002F455B">
        <w:rPr>
          <w:rFonts w:ascii="Times New Roman" w:hAnsi="Times New Roman" w:hint="eastAsia"/>
          <w:sz w:val="24"/>
          <w:szCs w:val="28"/>
        </w:rPr>
        <w:t>期支付：本协议生效时支付</w:t>
      </w:r>
      <w:r w:rsidRPr="002F455B">
        <w:rPr>
          <w:rFonts w:ascii="Times New Roman" w:hAnsi="Times New Roman" w:hint="eastAsia"/>
          <w:sz w:val="24"/>
          <w:szCs w:val="28"/>
        </w:rPr>
        <w:t>50</w:t>
      </w:r>
      <w:r w:rsidRPr="002F455B">
        <w:rPr>
          <w:rFonts w:ascii="Times New Roman" w:hAnsi="Times New Roman" w:hint="eastAsia"/>
          <w:sz w:val="24"/>
          <w:szCs w:val="28"/>
        </w:rPr>
        <w:t>万欧；技术许可内容</w:t>
      </w:r>
      <w:r w:rsidRPr="002F455B">
        <w:rPr>
          <w:rFonts w:ascii="Times New Roman" w:hAnsi="Times New Roman"/>
          <w:sz w:val="24"/>
          <w:szCs w:val="28"/>
        </w:rPr>
        <w:t>“RPE</w:t>
      </w:r>
      <w:r w:rsidRPr="002F455B">
        <w:rPr>
          <w:rFonts w:ascii="Times New Roman" w:hAnsi="Times New Roman"/>
          <w:sz w:val="24"/>
          <w:szCs w:val="28"/>
        </w:rPr>
        <w:t>和</w:t>
      </w:r>
      <w:r w:rsidRPr="002F455B">
        <w:rPr>
          <w:rFonts w:ascii="Times New Roman" w:hAnsi="Times New Roman"/>
          <w:sz w:val="24"/>
          <w:szCs w:val="28"/>
        </w:rPr>
        <w:t>RPL</w:t>
      </w:r>
      <w:r w:rsidRPr="002F455B">
        <w:rPr>
          <w:rFonts w:ascii="Times New Roman" w:hAnsi="Times New Roman"/>
          <w:sz w:val="24"/>
          <w:szCs w:val="28"/>
        </w:rPr>
        <w:t>源代码及文件</w:t>
      </w:r>
      <w:r w:rsidRPr="002F455B">
        <w:rPr>
          <w:rFonts w:ascii="Times New Roman" w:hAnsi="Times New Roman"/>
          <w:sz w:val="24"/>
          <w:szCs w:val="28"/>
        </w:rPr>
        <w:t>”</w:t>
      </w:r>
      <w:r w:rsidRPr="002F455B">
        <w:rPr>
          <w:rFonts w:ascii="Times New Roman" w:hAnsi="Times New Roman" w:hint="eastAsia"/>
          <w:sz w:val="24"/>
          <w:szCs w:val="28"/>
        </w:rPr>
        <w:t>执行完毕时支付</w:t>
      </w:r>
      <w:r w:rsidRPr="002F455B">
        <w:rPr>
          <w:rFonts w:ascii="Times New Roman" w:hAnsi="Times New Roman" w:hint="eastAsia"/>
          <w:sz w:val="24"/>
          <w:szCs w:val="28"/>
        </w:rPr>
        <w:t>50</w:t>
      </w:r>
      <w:r w:rsidRPr="002F455B">
        <w:rPr>
          <w:rFonts w:ascii="Times New Roman" w:hAnsi="Times New Roman" w:hint="eastAsia"/>
          <w:sz w:val="24"/>
          <w:szCs w:val="28"/>
        </w:rPr>
        <w:t>万欧；</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2</w:t>
      </w:r>
      <w:r w:rsidRPr="002F455B">
        <w:rPr>
          <w:rFonts w:ascii="Times New Roman" w:hAnsi="Times New Roman" w:hint="eastAsia"/>
          <w:sz w:val="24"/>
          <w:szCs w:val="28"/>
        </w:rPr>
        <w:t>）特许权使用费自</w:t>
      </w:r>
      <w:r w:rsidRPr="002F455B">
        <w:rPr>
          <w:rFonts w:ascii="Times New Roman" w:hAnsi="Times New Roman" w:hint="eastAsia"/>
          <w:sz w:val="24"/>
          <w:szCs w:val="28"/>
        </w:rPr>
        <w:t>2022</w:t>
      </w:r>
      <w:r w:rsidRPr="002F455B">
        <w:rPr>
          <w:rFonts w:ascii="Times New Roman" w:hAnsi="Times New Roman" w:hint="eastAsia"/>
          <w:sz w:val="24"/>
          <w:szCs w:val="28"/>
        </w:rPr>
        <w:t>年起按季度支付。</w:t>
      </w:r>
    </w:p>
    <w:p w:rsidR="00707B59" w:rsidRPr="002F455B" w:rsidRDefault="00707B59" w:rsidP="00707B59">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5</w:t>
      </w:r>
      <w:r w:rsidRPr="002F455B">
        <w:rPr>
          <w:rFonts w:ascii="Times New Roman" w:hAnsi="Times New Roman" w:hint="eastAsia"/>
          <w:b/>
          <w:sz w:val="24"/>
          <w:szCs w:val="28"/>
        </w:rPr>
        <w:t>、培训及技术支持</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ROBOX</w:t>
      </w:r>
      <w:r w:rsidRPr="002F455B">
        <w:rPr>
          <w:rFonts w:ascii="Times New Roman" w:hAnsi="Times New Roman"/>
          <w:sz w:val="24"/>
          <w:szCs w:val="28"/>
        </w:rPr>
        <w:t>将提供与技术许可相关的培训、支持文件、代码翻译、和所有相关</w:t>
      </w:r>
      <w:r w:rsidRPr="002F455B">
        <w:rPr>
          <w:rFonts w:ascii="Times New Roman" w:hAnsi="Times New Roman"/>
          <w:sz w:val="24"/>
          <w:szCs w:val="28"/>
        </w:rPr>
        <w:t>KNOW-HOW</w:t>
      </w:r>
      <w:r w:rsidRPr="002F455B">
        <w:rPr>
          <w:rFonts w:ascii="Times New Roman" w:hAnsi="Times New Roman"/>
          <w:sz w:val="24"/>
          <w:szCs w:val="28"/>
        </w:rPr>
        <w:t>，</w:t>
      </w:r>
      <w:r w:rsidRPr="002F455B">
        <w:rPr>
          <w:rFonts w:ascii="Times New Roman" w:hAnsi="Times New Roman" w:hint="eastAsia"/>
          <w:sz w:val="24"/>
          <w:szCs w:val="28"/>
        </w:rPr>
        <w:t>使技术许可协议可有效执行。</w:t>
      </w:r>
    </w:p>
    <w:p w:rsidR="00707B59" w:rsidRPr="002F455B" w:rsidRDefault="00707B59" w:rsidP="00707B59">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6</w:t>
      </w:r>
      <w:r w:rsidRPr="002F455B">
        <w:rPr>
          <w:rFonts w:ascii="Times New Roman" w:hAnsi="Times New Roman" w:hint="eastAsia"/>
          <w:b/>
          <w:sz w:val="24"/>
          <w:szCs w:val="28"/>
        </w:rPr>
        <w:t>、期限</w:t>
      </w:r>
    </w:p>
    <w:p w:rsidR="00707B59" w:rsidRPr="002F455B" w:rsidRDefault="00707B59" w:rsidP="00707B59">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本协议自生效日起</w:t>
      </w:r>
      <w:r w:rsidRPr="002F455B">
        <w:rPr>
          <w:rFonts w:ascii="Times New Roman" w:hAnsi="Times New Roman" w:hint="eastAsia"/>
          <w:sz w:val="24"/>
          <w:szCs w:val="28"/>
        </w:rPr>
        <w:t>10</w:t>
      </w:r>
      <w:r w:rsidRPr="002F455B">
        <w:rPr>
          <w:rFonts w:ascii="Times New Roman" w:hAnsi="Times New Roman" w:hint="eastAsia"/>
          <w:sz w:val="24"/>
          <w:szCs w:val="28"/>
        </w:rPr>
        <w:t>年有效，</w:t>
      </w:r>
      <w:r w:rsidRPr="002F455B">
        <w:rPr>
          <w:rFonts w:ascii="Times New Roman" w:hAnsi="Times New Roman" w:hint="eastAsia"/>
          <w:sz w:val="24"/>
          <w:szCs w:val="28"/>
        </w:rPr>
        <w:t>10</w:t>
      </w:r>
      <w:r w:rsidRPr="002F455B">
        <w:rPr>
          <w:rFonts w:ascii="Times New Roman" w:hAnsi="Times New Roman" w:hint="eastAsia"/>
          <w:sz w:val="24"/>
          <w:szCs w:val="28"/>
        </w:rPr>
        <w:t>年后如双方同意可通过书面协议延长</w:t>
      </w:r>
      <w:r w:rsidRPr="002F455B">
        <w:rPr>
          <w:rFonts w:ascii="Times New Roman" w:hAnsi="Times New Roman" w:hint="eastAsia"/>
          <w:sz w:val="24"/>
          <w:szCs w:val="28"/>
        </w:rPr>
        <w:t>10</w:t>
      </w:r>
      <w:r w:rsidRPr="002F455B">
        <w:rPr>
          <w:rFonts w:ascii="Times New Roman" w:hAnsi="Times New Roman" w:hint="eastAsia"/>
          <w:sz w:val="24"/>
          <w:szCs w:val="28"/>
        </w:rPr>
        <w:t>年。</w:t>
      </w:r>
    </w:p>
    <w:p w:rsidR="00531590" w:rsidRPr="002F455B" w:rsidRDefault="00531590" w:rsidP="00CE1BF3">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w:t>
      </w:r>
      <w:r w:rsidR="00707B59">
        <w:rPr>
          <w:rFonts w:ascii="Times New Roman" w:hAnsi="Times New Roman" w:hint="eastAsia"/>
          <w:b/>
          <w:sz w:val="24"/>
          <w:szCs w:val="28"/>
        </w:rPr>
        <w:t>二</w:t>
      </w:r>
      <w:r w:rsidRPr="002F455B">
        <w:rPr>
          <w:rFonts w:ascii="Times New Roman" w:hAnsi="Times New Roman" w:hint="eastAsia"/>
          <w:b/>
          <w:sz w:val="24"/>
          <w:szCs w:val="28"/>
        </w:rPr>
        <w:t>）《股权收购协议》的主要内容</w:t>
      </w:r>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1</w:t>
      </w:r>
      <w:r w:rsidRPr="002F455B">
        <w:rPr>
          <w:rFonts w:ascii="Times New Roman" w:hAnsi="Times New Roman" w:hint="eastAsia"/>
          <w:b/>
          <w:sz w:val="24"/>
          <w:szCs w:val="28"/>
        </w:rPr>
        <w:t>、协议主体</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受让方：埃夫特智能装备股份有限公司</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转让方</w:t>
      </w:r>
      <w:proofErr w:type="gramStart"/>
      <w:r w:rsidRPr="002F455B">
        <w:rPr>
          <w:rFonts w:ascii="Times New Roman" w:hAnsi="Times New Roman" w:hint="eastAsia"/>
          <w:sz w:val="24"/>
          <w:szCs w:val="28"/>
        </w:rPr>
        <w:t>一</w:t>
      </w:r>
      <w:proofErr w:type="gramEnd"/>
      <w:r w:rsidRPr="002F455B">
        <w:rPr>
          <w:rFonts w:ascii="Times New Roman" w:hAnsi="Times New Roman" w:hint="eastAsia"/>
          <w:sz w:val="24"/>
          <w:szCs w:val="28"/>
        </w:rPr>
        <w:t>：</w:t>
      </w:r>
      <w:proofErr w:type="spellStart"/>
      <w:r w:rsidRPr="002F455B">
        <w:rPr>
          <w:rFonts w:ascii="Times New Roman" w:hAnsi="Times New Roman" w:hint="eastAsia"/>
          <w:sz w:val="24"/>
          <w:szCs w:val="28"/>
        </w:rPr>
        <w:t>Marzio</w:t>
      </w:r>
      <w:proofErr w:type="spellEnd"/>
      <w:r w:rsidRPr="002F455B">
        <w:rPr>
          <w:rFonts w:ascii="Times New Roman" w:hAnsi="Times New Roman" w:hint="eastAsia"/>
          <w:sz w:val="24"/>
          <w:szCs w:val="28"/>
        </w:rPr>
        <w:t xml:space="preserve"> </w:t>
      </w:r>
      <w:proofErr w:type="spellStart"/>
      <w:r w:rsidRPr="002F455B">
        <w:rPr>
          <w:rFonts w:ascii="Times New Roman" w:hAnsi="Times New Roman" w:hint="eastAsia"/>
          <w:sz w:val="24"/>
          <w:szCs w:val="28"/>
        </w:rPr>
        <w:t>Montorsi</w:t>
      </w:r>
      <w:proofErr w:type="spellEnd"/>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转让方二：</w:t>
      </w:r>
      <w:r w:rsidRPr="002F455B">
        <w:rPr>
          <w:rFonts w:ascii="Times New Roman" w:hAnsi="Times New Roman" w:hint="eastAsia"/>
          <w:sz w:val="24"/>
          <w:szCs w:val="28"/>
        </w:rPr>
        <w:t xml:space="preserve">Lea </w:t>
      </w:r>
      <w:proofErr w:type="spellStart"/>
      <w:r w:rsidRPr="002F455B">
        <w:rPr>
          <w:rFonts w:ascii="Times New Roman" w:hAnsi="Times New Roman" w:hint="eastAsia"/>
          <w:sz w:val="24"/>
          <w:szCs w:val="28"/>
        </w:rPr>
        <w:t>Montorsi</w:t>
      </w:r>
      <w:proofErr w:type="spellEnd"/>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lastRenderedPageBreak/>
        <w:t>2</w:t>
      </w:r>
      <w:r w:rsidRPr="002F455B">
        <w:rPr>
          <w:rFonts w:ascii="Times New Roman" w:hAnsi="Times New Roman" w:hint="eastAsia"/>
          <w:b/>
          <w:sz w:val="24"/>
          <w:szCs w:val="28"/>
        </w:rPr>
        <w:t>、交易标的</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R</w:t>
      </w:r>
      <w:r w:rsidRPr="002F455B">
        <w:rPr>
          <w:rFonts w:ascii="Times New Roman" w:hAnsi="Times New Roman"/>
          <w:sz w:val="24"/>
          <w:szCs w:val="28"/>
        </w:rPr>
        <w:t>OBOX</w:t>
      </w:r>
      <w:r w:rsidRPr="002F455B">
        <w:rPr>
          <w:rFonts w:ascii="Times New Roman" w:hAnsi="Times New Roman" w:hint="eastAsia"/>
          <w:sz w:val="24"/>
          <w:szCs w:val="28"/>
        </w:rPr>
        <w:t>公司的</w:t>
      </w:r>
      <w:r w:rsidRPr="002F455B">
        <w:rPr>
          <w:rFonts w:ascii="Times New Roman" w:hAnsi="Times New Roman"/>
          <w:sz w:val="24"/>
          <w:szCs w:val="28"/>
        </w:rPr>
        <w:t>9</w:t>
      </w:r>
      <w:r w:rsidRPr="002F455B">
        <w:rPr>
          <w:rFonts w:ascii="Times New Roman" w:hAnsi="Times New Roman" w:hint="eastAsia"/>
          <w:sz w:val="24"/>
          <w:szCs w:val="28"/>
        </w:rPr>
        <w:t>%</w:t>
      </w:r>
      <w:r w:rsidRPr="002F455B">
        <w:rPr>
          <w:rFonts w:ascii="Times New Roman" w:hAnsi="Times New Roman" w:hint="eastAsia"/>
          <w:sz w:val="24"/>
          <w:szCs w:val="28"/>
        </w:rPr>
        <w:t>股权。</w:t>
      </w:r>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3</w:t>
      </w:r>
      <w:r w:rsidRPr="002F455B">
        <w:rPr>
          <w:rFonts w:ascii="Times New Roman" w:hAnsi="Times New Roman" w:hint="eastAsia"/>
          <w:b/>
          <w:sz w:val="24"/>
          <w:szCs w:val="28"/>
        </w:rPr>
        <w:t>、交易价格</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本次标的交易价格为</w:t>
      </w:r>
      <w:r w:rsidRPr="002F455B">
        <w:rPr>
          <w:rFonts w:ascii="Times New Roman" w:hAnsi="Times New Roman" w:hint="eastAsia"/>
          <w:sz w:val="24"/>
          <w:szCs w:val="28"/>
        </w:rPr>
        <w:t>2</w:t>
      </w:r>
      <w:r w:rsidRPr="002F455B">
        <w:rPr>
          <w:rFonts w:ascii="Times New Roman" w:hAnsi="Times New Roman"/>
          <w:sz w:val="24"/>
          <w:szCs w:val="28"/>
        </w:rPr>
        <w:t>00</w:t>
      </w:r>
      <w:r w:rsidRPr="002F455B">
        <w:rPr>
          <w:rFonts w:ascii="Times New Roman" w:hAnsi="Times New Roman" w:hint="eastAsia"/>
          <w:sz w:val="24"/>
          <w:szCs w:val="28"/>
        </w:rPr>
        <w:t>万欧元。</w:t>
      </w:r>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4</w:t>
      </w:r>
      <w:r w:rsidRPr="002F455B">
        <w:rPr>
          <w:rFonts w:ascii="Times New Roman" w:hAnsi="Times New Roman" w:hint="eastAsia"/>
          <w:b/>
          <w:sz w:val="24"/>
          <w:szCs w:val="28"/>
        </w:rPr>
        <w:t>、先决条件</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hint="eastAsia"/>
          <w:sz w:val="24"/>
          <w:szCs w:val="28"/>
        </w:rPr>
        <w:t>1</w:t>
      </w:r>
      <w:r w:rsidRPr="002F455B">
        <w:rPr>
          <w:rFonts w:ascii="Times New Roman" w:hAnsi="Times New Roman" w:hint="eastAsia"/>
          <w:sz w:val="24"/>
          <w:szCs w:val="28"/>
        </w:rPr>
        <w:t>）出具</w:t>
      </w:r>
      <w:r w:rsidRPr="002F455B">
        <w:rPr>
          <w:rFonts w:ascii="Times New Roman" w:hAnsi="Times New Roman" w:hint="eastAsia"/>
          <w:sz w:val="24"/>
          <w:szCs w:val="28"/>
        </w:rPr>
        <w:t>ROBOX</w:t>
      </w:r>
      <w:r w:rsidRPr="002F455B">
        <w:rPr>
          <w:rFonts w:ascii="Times New Roman" w:hAnsi="Times New Roman" w:hint="eastAsia"/>
          <w:sz w:val="24"/>
          <w:szCs w:val="28"/>
        </w:rPr>
        <w:t>基于</w:t>
      </w:r>
      <w:r w:rsidRPr="002F455B">
        <w:rPr>
          <w:rFonts w:ascii="Times New Roman" w:hAnsi="Times New Roman" w:hint="eastAsia"/>
          <w:sz w:val="24"/>
          <w:szCs w:val="28"/>
        </w:rPr>
        <w:t>2</w:t>
      </w:r>
      <w:r w:rsidRPr="002F455B">
        <w:rPr>
          <w:rFonts w:ascii="Times New Roman" w:hAnsi="Times New Roman"/>
          <w:sz w:val="24"/>
          <w:szCs w:val="28"/>
        </w:rPr>
        <w:t>021</w:t>
      </w:r>
      <w:r w:rsidRPr="002F455B">
        <w:rPr>
          <w:rFonts w:ascii="Times New Roman" w:hAnsi="Times New Roman" w:hint="eastAsia"/>
          <w:sz w:val="24"/>
          <w:szCs w:val="28"/>
        </w:rPr>
        <w:t>年</w:t>
      </w:r>
      <w:r w:rsidRPr="002F455B">
        <w:rPr>
          <w:rFonts w:ascii="Times New Roman" w:hAnsi="Times New Roman" w:hint="eastAsia"/>
          <w:sz w:val="24"/>
          <w:szCs w:val="28"/>
        </w:rPr>
        <w:t>9</w:t>
      </w:r>
      <w:r w:rsidRPr="002F455B">
        <w:rPr>
          <w:rFonts w:ascii="Times New Roman" w:hAnsi="Times New Roman" w:hint="eastAsia"/>
          <w:sz w:val="24"/>
          <w:szCs w:val="28"/>
        </w:rPr>
        <w:t>月</w:t>
      </w:r>
      <w:r w:rsidRPr="002F455B">
        <w:rPr>
          <w:rFonts w:ascii="Times New Roman" w:hAnsi="Times New Roman" w:hint="eastAsia"/>
          <w:sz w:val="24"/>
          <w:szCs w:val="28"/>
        </w:rPr>
        <w:t>3</w:t>
      </w:r>
      <w:r w:rsidRPr="002F455B">
        <w:rPr>
          <w:rFonts w:ascii="Times New Roman" w:hAnsi="Times New Roman"/>
          <w:sz w:val="24"/>
          <w:szCs w:val="28"/>
        </w:rPr>
        <w:t>0</w:t>
      </w:r>
      <w:r w:rsidRPr="002F455B">
        <w:rPr>
          <w:rFonts w:ascii="Times New Roman" w:hAnsi="Times New Roman" w:hint="eastAsia"/>
          <w:sz w:val="24"/>
          <w:szCs w:val="28"/>
        </w:rPr>
        <w:t>日的审计报告及公司股权价值估值报告；</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sz w:val="24"/>
          <w:szCs w:val="28"/>
        </w:rPr>
        <w:t>2</w:t>
      </w:r>
      <w:r w:rsidRPr="002F455B">
        <w:rPr>
          <w:rFonts w:ascii="Times New Roman" w:hAnsi="Times New Roman" w:hint="eastAsia"/>
          <w:sz w:val="24"/>
          <w:szCs w:val="28"/>
        </w:rPr>
        <w:t>）埃夫特董事会、股东大会审议通过；</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w:t>
      </w:r>
      <w:r w:rsidRPr="002F455B">
        <w:rPr>
          <w:rFonts w:ascii="Times New Roman" w:hAnsi="Times New Roman"/>
          <w:sz w:val="24"/>
          <w:szCs w:val="28"/>
        </w:rPr>
        <w:t>3</w:t>
      </w:r>
      <w:r w:rsidRPr="002F455B">
        <w:rPr>
          <w:rFonts w:ascii="Times New Roman" w:hAnsi="Times New Roman" w:hint="eastAsia"/>
          <w:sz w:val="24"/>
          <w:szCs w:val="28"/>
        </w:rPr>
        <w:t>）经主管部门批准本协议及《技术许可协议》，包括中国商务部和国家发展和改革委员会当地分支机构的批准和完成向中国国家外汇管理局的申报；</w:t>
      </w:r>
      <w:r w:rsidRPr="002F455B">
        <w:rPr>
          <w:rFonts w:ascii="Times New Roman" w:hAnsi="Times New Roman" w:hint="eastAsia"/>
          <w:sz w:val="24"/>
          <w:szCs w:val="28"/>
        </w:rPr>
        <w:t xml:space="preserve"> </w:t>
      </w:r>
      <w:r w:rsidRPr="002F455B">
        <w:rPr>
          <w:rFonts w:ascii="Times New Roman" w:hAnsi="Times New Roman" w:hint="eastAsia"/>
          <w:sz w:val="24"/>
          <w:szCs w:val="28"/>
        </w:rPr>
        <w:t>包括意大利政府的批准（</w:t>
      </w:r>
      <w:r w:rsidRPr="002F455B">
        <w:rPr>
          <w:rFonts w:ascii="Times New Roman" w:hAnsi="Times New Roman" w:hint="eastAsia"/>
          <w:sz w:val="24"/>
          <w:szCs w:val="28"/>
        </w:rPr>
        <w:t>Golden Power</w:t>
      </w:r>
      <w:r w:rsidRPr="002F455B">
        <w:rPr>
          <w:rFonts w:ascii="Times New Roman" w:hAnsi="Times New Roman" w:hint="eastAsia"/>
          <w:sz w:val="24"/>
          <w:szCs w:val="28"/>
        </w:rPr>
        <w:t>）。</w:t>
      </w:r>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5</w:t>
      </w:r>
      <w:r w:rsidRPr="002F455B">
        <w:rPr>
          <w:rFonts w:ascii="Times New Roman" w:hAnsi="Times New Roman" w:hint="eastAsia"/>
          <w:b/>
          <w:sz w:val="24"/>
          <w:szCs w:val="28"/>
        </w:rPr>
        <w:t>、交割时间</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完成或豁免先决条件的通知后</w:t>
      </w:r>
      <w:r w:rsidRPr="002F455B">
        <w:rPr>
          <w:rFonts w:ascii="Times New Roman" w:hAnsi="Times New Roman" w:hint="eastAsia"/>
          <w:sz w:val="24"/>
          <w:szCs w:val="28"/>
        </w:rPr>
        <w:t>60</w:t>
      </w:r>
      <w:r w:rsidRPr="002F455B">
        <w:rPr>
          <w:rFonts w:ascii="Times New Roman" w:hAnsi="Times New Roman" w:hint="eastAsia"/>
          <w:sz w:val="24"/>
          <w:szCs w:val="28"/>
        </w:rPr>
        <w:t>日内，但不得晚于</w:t>
      </w:r>
      <w:r w:rsidRPr="002F455B">
        <w:rPr>
          <w:rFonts w:ascii="Times New Roman" w:hAnsi="Times New Roman" w:hint="eastAsia"/>
          <w:sz w:val="24"/>
          <w:szCs w:val="28"/>
        </w:rPr>
        <w:t>2022</w:t>
      </w:r>
      <w:r w:rsidRPr="002F455B">
        <w:rPr>
          <w:rFonts w:ascii="Times New Roman" w:hAnsi="Times New Roman" w:hint="eastAsia"/>
          <w:sz w:val="24"/>
          <w:szCs w:val="28"/>
        </w:rPr>
        <w:t>年</w:t>
      </w:r>
      <w:r w:rsidRPr="002F455B">
        <w:rPr>
          <w:rFonts w:ascii="Times New Roman" w:hAnsi="Times New Roman"/>
          <w:sz w:val="24"/>
          <w:szCs w:val="28"/>
        </w:rPr>
        <w:t>5</w:t>
      </w:r>
      <w:r w:rsidRPr="002F455B">
        <w:rPr>
          <w:rFonts w:ascii="Times New Roman" w:hAnsi="Times New Roman" w:hint="eastAsia"/>
          <w:sz w:val="24"/>
          <w:szCs w:val="28"/>
        </w:rPr>
        <w:t>月</w:t>
      </w:r>
      <w:r w:rsidRPr="002F455B">
        <w:rPr>
          <w:rFonts w:ascii="Times New Roman" w:hAnsi="Times New Roman" w:hint="eastAsia"/>
          <w:sz w:val="24"/>
          <w:szCs w:val="28"/>
        </w:rPr>
        <w:t>31</w:t>
      </w:r>
      <w:r w:rsidRPr="002F455B">
        <w:rPr>
          <w:rFonts w:ascii="Times New Roman" w:hAnsi="Times New Roman" w:hint="eastAsia"/>
          <w:sz w:val="24"/>
          <w:szCs w:val="28"/>
        </w:rPr>
        <w:t>日。</w:t>
      </w:r>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hint="eastAsia"/>
          <w:b/>
          <w:sz w:val="24"/>
          <w:szCs w:val="28"/>
        </w:rPr>
        <w:t>6</w:t>
      </w:r>
      <w:r w:rsidRPr="002F455B">
        <w:rPr>
          <w:rFonts w:ascii="Times New Roman" w:hAnsi="Times New Roman" w:hint="eastAsia"/>
          <w:b/>
          <w:sz w:val="24"/>
          <w:szCs w:val="28"/>
        </w:rPr>
        <w:t>、支付方式及期限</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本次股权转让款由公司于交割日以电汇方式全额支付。</w:t>
      </w:r>
    </w:p>
    <w:p w:rsidR="00531590" w:rsidRPr="002F455B" w:rsidRDefault="00531590" w:rsidP="00CE1BF3">
      <w:pPr>
        <w:spacing w:beforeLines="50" w:before="156" w:line="360" w:lineRule="auto"/>
        <w:ind w:firstLineChars="200" w:firstLine="482"/>
        <w:rPr>
          <w:rFonts w:ascii="Times New Roman" w:hAnsi="Times New Roman"/>
          <w:b/>
          <w:sz w:val="24"/>
          <w:szCs w:val="28"/>
        </w:rPr>
      </w:pPr>
      <w:r w:rsidRPr="002F455B">
        <w:rPr>
          <w:rFonts w:ascii="Times New Roman" w:hAnsi="Times New Roman"/>
          <w:b/>
          <w:sz w:val="24"/>
          <w:szCs w:val="28"/>
        </w:rPr>
        <w:t>7</w:t>
      </w:r>
      <w:r w:rsidRPr="002F455B">
        <w:rPr>
          <w:rFonts w:ascii="Times New Roman" w:hAnsi="Times New Roman" w:hint="eastAsia"/>
          <w:b/>
          <w:sz w:val="24"/>
          <w:szCs w:val="28"/>
        </w:rPr>
        <w:t>、协议生效的条件</w:t>
      </w:r>
    </w:p>
    <w:p w:rsidR="00531590" w:rsidRPr="002F455B" w:rsidRDefault="00531590"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本协议自签订之日起生效。</w:t>
      </w:r>
    </w:p>
    <w:p w:rsidR="00CE1BF3" w:rsidRPr="002F455B" w:rsidRDefault="00CE1BF3" w:rsidP="00CE1BF3">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hint="eastAsia"/>
          <w:b/>
          <w:bCs/>
          <w:sz w:val="24"/>
          <w:szCs w:val="32"/>
        </w:rPr>
        <w:t>五、本次交易的必要性以及对上市公司的影响</w:t>
      </w:r>
    </w:p>
    <w:p w:rsidR="00CE1BF3" w:rsidRPr="002F455B" w:rsidRDefault="00CE1BF3" w:rsidP="00CE1BF3">
      <w:pPr>
        <w:spacing w:beforeLines="50" w:before="156" w:line="360" w:lineRule="auto"/>
        <w:ind w:firstLineChars="200" w:firstLine="480"/>
        <w:rPr>
          <w:rFonts w:ascii="Times New Roman" w:hAnsi="Times New Roman"/>
          <w:sz w:val="24"/>
          <w:szCs w:val="28"/>
        </w:rPr>
      </w:pPr>
      <w:bookmarkStart w:id="0" w:name="_Hlk92290640"/>
      <w:r w:rsidRPr="002F455B">
        <w:rPr>
          <w:rFonts w:ascii="Times New Roman" w:hAnsi="Times New Roman" w:hint="eastAsia"/>
          <w:sz w:val="24"/>
          <w:szCs w:val="28"/>
        </w:rPr>
        <w:t>实现控制器这一核心部件自主化生产，是公司重要的战略目标和发展规划。本次交易的目的，是在前期已与</w:t>
      </w:r>
      <w:r w:rsidRPr="002F455B">
        <w:rPr>
          <w:rFonts w:ascii="Times New Roman" w:hAnsi="Times New Roman"/>
          <w:sz w:val="24"/>
          <w:szCs w:val="28"/>
        </w:rPr>
        <w:t>ROBOX</w:t>
      </w:r>
      <w:r w:rsidRPr="002F455B">
        <w:rPr>
          <w:rFonts w:ascii="Times New Roman" w:hAnsi="Times New Roman" w:hint="eastAsia"/>
          <w:sz w:val="24"/>
          <w:szCs w:val="28"/>
        </w:rPr>
        <w:t>战略合作，已初步实现控制器自主化生产的基础上，为进一步提升公司的核心竞争力，获取控制平台底层源代码，完成公司机器人核心自主控制平台的搭建工作，实现控制器底层核心技术的完全自主可控。</w:t>
      </w:r>
      <w:bookmarkEnd w:id="0"/>
      <w:r w:rsidRPr="002F455B">
        <w:rPr>
          <w:rFonts w:ascii="Times New Roman" w:hAnsi="Times New Roman" w:hint="eastAsia"/>
          <w:sz w:val="24"/>
          <w:szCs w:val="28"/>
        </w:rPr>
        <w:t>本次交易以建立埃夫特自主的、易用的、开放的控制器软件平台为最终目标，以不影响埃夫特机器人发展战略，不影响埃夫特产品的市场销售为前提条件，符合公司战略发展方向。通过增加股权持股比例，公司进一步增加对</w:t>
      </w:r>
      <w:r w:rsidRPr="002F455B">
        <w:rPr>
          <w:rFonts w:ascii="Times New Roman" w:hAnsi="Times New Roman"/>
          <w:sz w:val="24"/>
          <w:szCs w:val="28"/>
        </w:rPr>
        <w:t>ROBOX</w:t>
      </w:r>
      <w:r w:rsidRPr="002F455B">
        <w:rPr>
          <w:rFonts w:ascii="Times New Roman" w:hAnsi="Times New Roman"/>
          <w:sz w:val="24"/>
          <w:szCs w:val="28"/>
        </w:rPr>
        <w:t>的</w:t>
      </w:r>
      <w:r w:rsidRPr="002F455B">
        <w:rPr>
          <w:rFonts w:ascii="Times New Roman" w:hAnsi="Times New Roman" w:hint="eastAsia"/>
          <w:sz w:val="24"/>
          <w:szCs w:val="28"/>
        </w:rPr>
        <w:t>影响力，从而更有利于公司获</w:t>
      </w:r>
      <w:r w:rsidRPr="002F455B">
        <w:rPr>
          <w:rFonts w:ascii="Times New Roman" w:hAnsi="Times New Roman" w:hint="eastAsia"/>
          <w:sz w:val="24"/>
          <w:szCs w:val="28"/>
        </w:rPr>
        <w:lastRenderedPageBreak/>
        <w:t>得稳定的技术授权，以保障控制器自主化生产。</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次股权收购不会导致公司合并范围发生变化，不存在损害公司及股东利益的情况，不会对公司财务状况、经营成果产生不利影响。本次收购股权资金来源为公司自有资金，不会影响公司正常的生产经营活动，不会对公司现金流及经营业绩产生重大不利影响。</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本次交易定价中股权交易定价参照</w:t>
      </w:r>
      <w:proofErr w:type="gramStart"/>
      <w:r w:rsidRPr="002F455B">
        <w:rPr>
          <w:rFonts w:ascii="Times New Roman" w:hAnsi="Times New Roman" w:hint="eastAsia"/>
          <w:sz w:val="24"/>
          <w:szCs w:val="28"/>
        </w:rPr>
        <w:t>独立第三</w:t>
      </w:r>
      <w:proofErr w:type="gramEnd"/>
      <w:r w:rsidRPr="002F455B">
        <w:rPr>
          <w:rFonts w:ascii="Times New Roman" w:hAnsi="Times New Roman" w:hint="eastAsia"/>
          <w:sz w:val="24"/>
          <w:szCs w:val="28"/>
        </w:rPr>
        <w:t>方评估报告，技术交易定价参照公司对于</w:t>
      </w:r>
      <w:r w:rsidRPr="002F455B">
        <w:rPr>
          <w:rFonts w:ascii="Times New Roman" w:hAnsi="Times New Roman" w:hint="eastAsia"/>
          <w:sz w:val="24"/>
          <w:szCs w:val="28"/>
        </w:rPr>
        <w:t>ROBOX</w:t>
      </w:r>
      <w:r w:rsidRPr="002F455B">
        <w:rPr>
          <w:rFonts w:ascii="Times New Roman" w:hAnsi="Times New Roman" w:hint="eastAsia"/>
          <w:sz w:val="24"/>
          <w:szCs w:val="28"/>
        </w:rPr>
        <w:t>平台技术价值的专业判断并通过和</w:t>
      </w:r>
      <w:r w:rsidRPr="002F455B">
        <w:rPr>
          <w:rFonts w:ascii="Times New Roman" w:hAnsi="Times New Roman" w:hint="eastAsia"/>
          <w:sz w:val="24"/>
          <w:szCs w:val="28"/>
        </w:rPr>
        <w:t>ROBOX</w:t>
      </w:r>
      <w:r w:rsidRPr="002F455B">
        <w:rPr>
          <w:rFonts w:ascii="Times New Roman" w:hAnsi="Times New Roman" w:hint="eastAsia"/>
          <w:sz w:val="24"/>
          <w:szCs w:val="28"/>
        </w:rPr>
        <w:t>公司议价商定，定价原则合理、公允，遵守了自愿、有偿的原则，不存在损害公司及其他股东特别是中小股东合法权益的情形，不会影响公司的独立性，不会对公司的持续经营能力造成影响。</w:t>
      </w:r>
    </w:p>
    <w:p w:rsidR="00CE1BF3" w:rsidRPr="002F455B" w:rsidRDefault="00CE1BF3" w:rsidP="00CE1BF3">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hint="eastAsia"/>
          <w:b/>
          <w:bCs/>
          <w:sz w:val="24"/>
          <w:szCs w:val="32"/>
        </w:rPr>
        <w:t>六、本次交易的审议程序</w:t>
      </w:r>
    </w:p>
    <w:p w:rsidR="00CE1BF3" w:rsidRPr="002F455B" w:rsidRDefault="00CE1BF3" w:rsidP="00CE1BF3">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（一）董事会审议程序</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公司于</w:t>
      </w:r>
      <w:r w:rsidRPr="002F455B">
        <w:rPr>
          <w:rFonts w:ascii="Times New Roman" w:hAnsi="Times New Roman" w:hint="eastAsia"/>
          <w:sz w:val="24"/>
          <w:szCs w:val="28"/>
        </w:rPr>
        <w:t>2</w:t>
      </w:r>
      <w:r w:rsidRPr="002F455B">
        <w:rPr>
          <w:rFonts w:ascii="Times New Roman" w:hAnsi="Times New Roman"/>
          <w:sz w:val="24"/>
          <w:szCs w:val="28"/>
        </w:rPr>
        <w:t>022</w:t>
      </w:r>
      <w:r w:rsidRPr="002F455B">
        <w:rPr>
          <w:rFonts w:ascii="Times New Roman" w:hAnsi="Times New Roman" w:hint="eastAsia"/>
          <w:sz w:val="24"/>
          <w:szCs w:val="28"/>
        </w:rPr>
        <w:t>年</w:t>
      </w:r>
      <w:r w:rsidRPr="002F455B">
        <w:rPr>
          <w:rFonts w:ascii="Times New Roman" w:hAnsi="Times New Roman"/>
          <w:sz w:val="24"/>
          <w:szCs w:val="28"/>
        </w:rPr>
        <w:t>3</w:t>
      </w:r>
      <w:r w:rsidRPr="002F455B">
        <w:rPr>
          <w:rFonts w:ascii="Times New Roman" w:hAnsi="Times New Roman" w:hint="eastAsia"/>
          <w:sz w:val="24"/>
          <w:szCs w:val="28"/>
        </w:rPr>
        <w:t>月</w:t>
      </w:r>
      <w:r w:rsidRPr="002F455B">
        <w:rPr>
          <w:rFonts w:ascii="Times New Roman" w:hAnsi="Times New Roman"/>
          <w:sz w:val="24"/>
          <w:szCs w:val="28"/>
        </w:rPr>
        <w:t>9</w:t>
      </w:r>
      <w:r w:rsidRPr="002F455B">
        <w:rPr>
          <w:rFonts w:ascii="Times New Roman" w:hAnsi="Times New Roman" w:hint="eastAsia"/>
          <w:sz w:val="24"/>
          <w:szCs w:val="28"/>
        </w:rPr>
        <w:t>日召开了第二届董事会第二十三次会议，出席会议董事</w:t>
      </w:r>
      <w:r w:rsidRPr="002F455B">
        <w:rPr>
          <w:rFonts w:ascii="Times New Roman" w:hAnsi="Times New Roman" w:hint="eastAsia"/>
          <w:sz w:val="24"/>
          <w:szCs w:val="28"/>
        </w:rPr>
        <w:t>1</w:t>
      </w:r>
      <w:r w:rsidRPr="002F455B">
        <w:rPr>
          <w:rFonts w:ascii="Times New Roman" w:hAnsi="Times New Roman"/>
          <w:sz w:val="24"/>
          <w:szCs w:val="28"/>
        </w:rPr>
        <w:t>1</w:t>
      </w:r>
      <w:r w:rsidRPr="002F455B">
        <w:rPr>
          <w:rFonts w:ascii="Times New Roman" w:hAnsi="Times New Roman" w:hint="eastAsia"/>
          <w:sz w:val="24"/>
          <w:szCs w:val="28"/>
        </w:rPr>
        <w:t>人，审议通过了</w:t>
      </w:r>
      <w:r w:rsidR="004D300B" w:rsidRPr="002F455B">
        <w:rPr>
          <w:rFonts w:ascii="Times New Roman" w:hAnsi="Times New Roman" w:hint="eastAsia"/>
          <w:sz w:val="24"/>
          <w:szCs w:val="28"/>
        </w:rPr>
        <w:t>《关于与参股公司签订技术许可协议暨关联交易的议案》</w:t>
      </w:r>
      <w:r w:rsidR="004D300B">
        <w:rPr>
          <w:rFonts w:ascii="Times New Roman" w:hAnsi="Times New Roman" w:hint="eastAsia"/>
          <w:sz w:val="24"/>
          <w:szCs w:val="28"/>
        </w:rPr>
        <w:t>、</w:t>
      </w:r>
      <w:r w:rsidRPr="002F455B">
        <w:rPr>
          <w:rFonts w:ascii="Times New Roman" w:hAnsi="Times New Roman" w:hint="eastAsia"/>
          <w:sz w:val="24"/>
          <w:szCs w:val="28"/>
        </w:rPr>
        <w:t>《关于收购参股公司股权的议案》。其中，</w:t>
      </w:r>
      <w:r w:rsidR="000A5CE8">
        <w:rPr>
          <w:rFonts w:ascii="Times New Roman" w:hAnsi="Times New Roman" w:hint="eastAsia"/>
          <w:sz w:val="24"/>
          <w:szCs w:val="28"/>
        </w:rPr>
        <w:t>相关</w:t>
      </w:r>
      <w:r w:rsidRPr="002F455B">
        <w:rPr>
          <w:rFonts w:ascii="Times New Roman" w:hAnsi="Times New Roman" w:hint="eastAsia"/>
          <w:sz w:val="24"/>
          <w:szCs w:val="28"/>
        </w:rPr>
        <w:t>关联董事</w:t>
      </w:r>
      <w:r w:rsidR="004D300B">
        <w:rPr>
          <w:rFonts w:ascii="Times New Roman" w:hAnsi="Times New Roman" w:hint="eastAsia"/>
          <w:sz w:val="24"/>
          <w:szCs w:val="28"/>
        </w:rPr>
        <w:t>已</w:t>
      </w:r>
      <w:r w:rsidRPr="002F455B">
        <w:rPr>
          <w:rFonts w:ascii="Times New Roman" w:hAnsi="Times New Roman" w:hint="eastAsia"/>
          <w:sz w:val="24"/>
          <w:szCs w:val="28"/>
        </w:rPr>
        <w:t>回避表决</w:t>
      </w:r>
      <w:r w:rsidR="000A5CE8" w:rsidRPr="002F455B">
        <w:rPr>
          <w:rFonts w:ascii="Times New Roman" w:hAnsi="Times New Roman" w:hint="eastAsia"/>
          <w:sz w:val="24"/>
          <w:szCs w:val="28"/>
        </w:rPr>
        <w:t>《关于与参股公司签订技术许可协议暨关联交易的议案》</w:t>
      </w:r>
      <w:r w:rsidR="004D300B">
        <w:rPr>
          <w:rFonts w:ascii="Times New Roman" w:hAnsi="Times New Roman" w:hint="eastAsia"/>
          <w:sz w:val="24"/>
          <w:szCs w:val="28"/>
        </w:rPr>
        <w:t>。</w:t>
      </w:r>
      <w:r w:rsidRPr="002F455B">
        <w:rPr>
          <w:rFonts w:ascii="Times New Roman" w:hAnsi="Times New Roman" w:hint="eastAsia"/>
          <w:sz w:val="24"/>
          <w:szCs w:val="28"/>
        </w:rPr>
        <w:t>本次交易尚需提交公司股东大会审议。</w:t>
      </w:r>
    </w:p>
    <w:p w:rsidR="00CE1BF3" w:rsidRPr="002F455B" w:rsidRDefault="00CE1BF3" w:rsidP="00CE1BF3">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（二）监事会意见</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公司于</w:t>
      </w:r>
      <w:r w:rsidRPr="002F455B">
        <w:rPr>
          <w:rFonts w:ascii="Times New Roman" w:hAnsi="Times New Roman" w:hint="eastAsia"/>
          <w:sz w:val="24"/>
          <w:szCs w:val="28"/>
        </w:rPr>
        <w:t>2</w:t>
      </w:r>
      <w:r w:rsidRPr="002F455B">
        <w:rPr>
          <w:rFonts w:ascii="Times New Roman" w:hAnsi="Times New Roman"/>
          <w:sz w:val="24"/>
          <w:szCs w:val="28"/>
        </w:rPr>
        <w:t>022</w:t>
      </w:r>
      <w:r w:rsidRPr="002F455B">
        <w:rPr>
          <w:rFonts w:ascii="Times New Roman" w:hAnsi="Times New Roman" w:hint="eastAsia"/>
          <w:sz w:val="24"/>
          <w:szCs w:val="28"/>
        </w:rPr>
        <w:t>年</w:t>
      </w:r>
      <w:r w:rsidRPr="002F455B">
        <w:rPr>
          <w:rFonts w:ascii="Times New Roman" w:hAnsi="Times New Roman"/>
          <w:sz w:val="24"/>
          <w:szCs w:val="28"/>
        </w:rPr>
        <w:t>3</w:t>
      </w:r>
      <w:r w:rsidRPr="002F455B">
        <w:rPr>
          <w:rFonts w:ascii="Times New Roman" w:hAnsi="Times New Roman" w:hint="eastAsia"/>
          <w:sz w:val="24"/>
          <w:szCs w:val="28"/>
        </w:rPr>
        <w:t>月</w:t>
      </w:r>
      <w:r w:rsidRPr="002F455B">
        <w:rPr>
          <w:rFonts w:ascii="Times New Roman" w:hAnsi="Times New Roman" w:hint="eastAsia"/>
          <w:sz w:val="24"/>
          <w:szCs w:val="28"/>
        </w:rPr>
        <w:t>9</w:t>
      </w:r>
      <w:r w:rsidRPr="002F455B">
        <w:rPr>
          <w:rFonts w:ascii="Times New Roman" w:hAnsi="Times New Roman" w:hint="eastAsia"/>
          <w:sz w:val="24"/>
          <w:szCs w:val="28"/>
        </w:rPr>
        <w:t>日召开第二届监事会第十四次会议，审议通过了</w:t>
      </w:r>
      <w:r w:rsidR="004D300B" w:rsidRPr="002F455B">
        <w:rPr>
          <w:rFonts w:ascii="Times New Roman" w:hAnsi="Times New Roman" w:hint="eastAsia"/>
          <w:sz w:val="24"/>
          <w:szCs w:val="28"/>
        </w:rPr>
        <w:t>《关于与参股公司签订技术许可协议暨关联交易的议案》</w:t>
      </w:r>
      <w:r w:rsidR="004D300B">
        <w:rPr>
          <w:rFonts w:ascii="Times New Roman" w:hAnsi="Times New Roman" w:hint="eastAsia"/>
          <w:sz w:val="24"/>
          <w:szCs w:val="28"/>
        </w:rPr>
        <w:t>、</w:t>
      </w:r>
      <w:r w:rsidRPr="002F455B">
        <w:rPr>
          <w:rFonts w:ascii="Times New Roman" w:hAnsi="Times New Roman" w:hint="eastAsia"/>
          <w:sz w:val="24"/>
          <w:szCs w:val="28"/>
        </w:rPr>
        <w:t>《关于收购参股公司股权的议案》。</w:t>
      </w:r>
    </w:p>
    <w:p w:rsidR="004D300B" w:rsidRPr="002F455B" w:rsidRDefault="004D300B" w:rsidP="004D300B">
      <w:pPr>
        <w:spacing w:beforeLines="50" w:before="156" w:line="360" w:lineRule="auto"/>
        <w:ind w:firstLineChars="200" w:firstLine="480"/>
        <w:rPr>
          <w:rFonts w:ascii="Times New Roman" w:hAnsi="Times New Roman"/>
          <w:sz w:val="24"/>
          <w:szCs w:val="28"/>
        </w:rPr>
      </w:pPr>
      <w:r>
        <w:rPr>
          <w:rFonts w:ascii="Times New Roman" w:hAnsi="Times New Roman" w:hint="eastAsia"/>
          <w:sz w:val="24"/>
          <w:szCs w:val="28"/>
        </w:rPr>
        <w:t>1</w:t>
      </w:r>
      <w:r w:rsidRPr="002F455B">
        <w:rPr>
          <w:rFonts w:ascii="Times New Roman" w:hAnsi="Times New Roman" w:hint="eastAsia"/>
          <w:sz w:val="24"/>
          <w:szCs w:val="28"/>
        </w:rPr>
        <w:t>、《关于与参股公司签订技术许可协议暨关联交易的议案》监事会意见如下：</w:t>
      </w:r>
    </w:p>
    <w:p w:rsidR="004D300B" w:rsidRPr="002F455B" w:rsidRDefault="004D300B" w:rsidP="004D300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监事会认为：公司本次与参股公司</w:t>
      </w:r>
      <w:r w:rsidRPr="002F455B">
        <w:rPr>
          <w:rFonts w:ascii="Times New Roman" w:hAnsi="Times New Roman"/>
          <w:sz w:val="24"/>
          <w:szCs w:val="28"/>
        </w:rPr>
        <w:t>ROBOX</w:t>
      </w:r>
      <w:r w:rsidRPr="002F455B">
        <w:rPr>
          <w:rFonts w:ascii="Times New Roman" w:hAnsi="Times New Roman" w:hint="eastAsia"/>
          <w:sz w:val="24"/>
          <w:szCs w:val="28"/>
        </w:rPr>
        <w:t>签署《技术许可协议》暨关联交易事项，有利于提升公司的核心竞争力，符合公司的业务发展和长期战略布局。本次技术许可协议的定价主要参照公司对于</w:t>
      </w:r>
      <w:r w:rsidRPr="002F455B">
        <w:rPr>
          <w:rFonts w:ascii="Times New Roman" w:hAnsi="Times New Roman" w:hint="eastAsia"/>
          <w:sz w:val="24"/>
          <w:szCs w:val="28"/>
        </w:rPr>
        <w:t>ROBOX</w:t>
      </w:r>
      <w:r w:rsidRPr="002F455B">
        <w:rPr>
          <w:rFonts w:ascii="Times New Roman" w:hAnsi="Times New Roman" w:hint="eastAsia"/>
          <w:sz w:val="24"/>
          <w:szCs w:val="28"/>
        </w:rPr>
        <w:t>平台技术价值的专业判断并通过和</w:t>
      </w:r>
      <w:r w:rsidRPr="002F455B">
        <w:rPr>
          <w:rFonts w:ascii="Times New Roman" w:hAnsi="Times New Roman" w:hint="eastAsia"/>
          <w:sz w:val="24"/>
          <w:szCs w:val="28"/>
        </w:rPr>
        <w:t>ROBOX</w:t>
      </w:r>
      <w:r w:rsidRPr="002F455B">
        <w:rPr>
          <w:rFonts w:ascii="Times New Roman" w:hAnsi="Times New Roman" w:hint="eastAsia"/>
          <w:sz w:val="24"/>
          <w:szCs w:val="28"/>
        </w:rPr>
        <w:t>公司议价商定，定价原则合理、公允，遵守了自愿、有偿的原则，该事项的决策程序合法合</w:t>
      </w:r>
      <w:proofErr w:type="gramStart"/>
      <w:r w:rsidRPr="002F455B">
        <w:rPr>
          <w:rFonts w:ascii="Times New Roman" w:hAnsi="Times New Roman" w:hint="eastAsia"/>
          <w:sz w:val="24"/>
          <w:szCs w:val="28"/>
        </w:rPr>
        <w:t>规</w:t>
      </w:r>
      <w:proofErr w:type="gramEnd"/>
      <w:r w:rsidRPr="002F455B">
        <w:rPr>
          <w:rFonts w:ascii="Times New Roman" w:hAnsi="Times New Roman" w:hint="eastAsia"/>
          <w:sz w:val="24"/>
          <w:szCs w:val="28"/>
        </w:rPr>
        <w:t>，不存在损害公司及其他股东特别是中小股东合法权益的情形。</w:t>
      </w:r>
    </w:p>
    <w:p w:rsidR="00CE1BF3" w:rsidRPr="002F455B" w:rsidRDefault="004D300B" w:rsidP="00CE1BF3">
      <w:pPr>
        <w:spacing w:beforeLines="50" w:before="156" w:line="360" w:lineRule="auto"/>
        <w:ind w:firstLineChars="200" w:firstLine="480"/>
        <w:rPr>
          <w:rFonts w:ascii="Times New Roman" w:hAnsi="Times New Roman"/>
          <w:sz w:val="24"/>
          <w:szCs w:val="28"/>
        </w:rPr>
      </w:pPr>
      <w:r>
        <w:rPr>
          <w:rFonts w:ascii="Times New Roman" w:hAnsi="Times New Roman" w:hint="eastAsia"/>
          <w:sz w:val="24"/>
          <w:szCs w:val="28"/>
        </w:rPr>
        <w:t>2</w:t>
      </w:r>
      <w:r w:rsidR="00CE1BF3" w:rsidRPr="002F455B">
        <w:rPr>
          <w:rFonts w:ascii="Times New Roman" w:hAnsi="Times New Roman" w:hint="eastAsia"/>
          <w:sz w:val="24"/>
          <w:szCs w:val="28"/>
        </w:rPr>
        <w:t>、《关于收购参股公司股权的议案》监事会意见如下：</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监事会认为：公司本次收购参股公司股权符合公司长期发展战略，不会对公司现</w:t>
      </w:r>
      <w:r w:rsidRPr="002F455B">
        <w:rPr>
          <w:rFonts w:ascii="Times New Roman" w:hAnsi="Times New Roman" w:hint="eastAsia"/>
          <w:sz w:val="24"/>
          <w:szCs w:val="28"/>
        </w:rPr>
        <w:lastRenderedPageBreak/>
        <w:t>金流及经营业绩产生重大不利影响，本次收购参股公司股权的审议及决策程序合法合</w:t>
      </w:r>
      <w:proofErr w:type="gramStart"/>
      <w:r w:rsidRPr="002F455B">
        <w:rPr>
          <w:rFonts w:ascii="Times New Roman" w:hAnsi="Times New Roman" w:hint="eastAsia"/>
          <w:sz w:val="24"/>
          <w:szCs w:val="28"/>
        </w:rPr>
        <w:t>规</w:t>
      </w:r>
      <w:proofErr w:type="gramEnd"/>
      <w:r w:rsidRPr="002F455B">
        <w:rPr>
          <w:rFonts w:ascii="Times New Roman" w:hAnsi="Times New Roman" w:hint="eastAsia"/>
          <w:sz w:val="24"/>
          <w:szCs w:val="28"/>
        </w:rPr>
        <w:t>，不存在损害公司及股东利益的情形。监事会同意公司本次收购参股公司股权事项。</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综上，监事会一致同意《关于收购参股公司股权的议案》《关于与参股公司签订技术许可协议暨关联交易的议案》。</w:t>
      </w:r>
    </w:p>
    <w:p w:rsidR="00CE1BF3" w:rsidRPr="002F455B" w:rsidRDefault="00CE1BF3" w:rsidP="00CE1BF3">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（三）董事会审计委员会意见</w:t>
      </w:r>
    </w:p>
    <w:p w:rsidR="004D300B" w:rsidRPr="002F455B" w:rsidRDefault="004D300B" w:rsidP="004D300B">
      <w:pPr>
        <w:spacing w:beforeLines="50" w:before="156" w:line="360" w:lineRule="auto"/>
        <w:ind w:firstLineChars="200" w:firstLine="480"/>
        <w:rPr>
          <w:rFonts w:ascii="Times New Roman" w:hAnsi="Times New Roman"/>
          <w:sz w:val="24"/>
          <w:szCs w:val="28"/>
        </w:rPr>
      </w:pPr>
      <w:r>
        <w:rPr>
          <w:rFonts w:ascii="Times New Roman" w:hAnsi="Times New Roman" w:hint="eastAsia"/>
          <w:sz w:val="24"/>
          <w:szCs w:val="28"/>
        </w:rPr>
        <w:t>1</w:t>
      </w:r>
      <w:r w:rsidRPr="002F455B">
        <w:rPr>
          <w:rFonts w:ascii="Times New Roman" w:hAnsi="Times New Roman" w:hint="eastAsia"/>
          <w:sz w:val="24"/>
          <w:szCs w:val="28"/>
        </w:rPr>
        <w:t>、《关于与参股公司签订技术许可协议暨关联交易的议案》审计委员会意见如下：</w:t>
      </w:r>
    </w:p>
    <w:p w:rsidR="004D300B" w:rsidRPr="002F455B" w:rsidRDefault="004D300B" w:rsidP="004D300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公司本次与参股公司</w:t>
      </w:r>
      <w:r w:rsidRPr="002F455B">
        <w:rPr>
          <w:rFonts w:ascii="Times New Roman" w:hAnsi="Times New Roman"/>
          <w:sz w:val="24"/>
          <w:szCs w:val="28"/>
        </w:rPr>
        <w:t>ROBOX</w:t>
      </w:r>
      <w:r w:rsidRPr="002F455B">
        <w:rPr>
          <w:rFonts w:ascii="Times New Roman" w:hAnsi="Times New Roman" w:hint="eastAsia"/>
          <w:sz w:val="24"/>
          <w:szCs w:val="28"/>
        </w:rPr>
        <w:t>签署《技术许可协议》暨关联交易事项，有利于公司提高研发效率，加快机器人研发工作的进度，有利于提升公司的核心竞争力，符合公司的业务发展和长期战略布局。交易定价原则合理、公允，遵守了自愿、有偿的原则，不存在损害公司及其他股东特别是中小股东合法权益的情形，也不会影响公司的独立性。</w:t>
      </w:r>
    </w:p>
    <w:p w:rsidR="004D300B" w:rsidRPr="002F455B" w:rsidRDefault="004D300B" w:rsidP="004D300B">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我们一致同意公司《关于与参股公司签订技术许可协议暨关联交易的议案》，并同意将该议案提交公司第二届董事会第二十三次会议进行审议。</w:t>
      </w:r>
    </w:p>
    <w:p w:rsidR="00CE1BF3" w:rsidRPr="002F455B" w:rsidRDefault="004D300B" w:rsidP="00CE1BF3">
      <w:pPr>
        <w:spacing w:beforeLines="50" w:before="156" w:line="360" w:lineRule="auto"/>
        <w:ind w:firstLineChars="200" w:firstLine="480"/>
        <w:rPr>
          <w:rFonts w:ascii="Times New Roman" w:hAnsi="Times New Roman"/>
          <w:sz w:val="24"/>
          <w:szCs w:val="28"/>
        </w:rPr>
      </w:pPr>
      <w:r>
        <w:rPr>
          <w:rFonts w:ascii="Times New Roman" w:hAnsi="Times New Roman" w:hint="eastAsia"/>
          <w:sz w:val="24"/>
          <w:szCs w:val="28"/>
        </w:rPr>
        <w:t>2</w:t>
      </w:r>
      <w:r w:rsidR="00CE1BF3" w:rsidRPr="002F455B">
        <w:rPr>
          <w:rFonts w:ascii="Times New Roman" w:hAnsi="Times New Roman" w:hint="eastAsia"/>
          <w:sz w:val="24"/>
          <w:szCs w:val="28"/>
        </w:rPr>
        <w:t>、《关于收购参股公司股权的议案》审计委员会意见如下：</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本次收购参股公司股权，与公司存在业务协同性，对公司未来的战略发展具有积极意义。本次股权交易已进行评估、审计，遵循了公平、合理的原则，不存在违反相关法律、法规及《公司章程》的情况；交易价格遵循市场原则，并经交易各方充分协商，定价公允、合理，没有违反公开、公平、公正的原则，不存在损害公司和中小股东的利益的行为，也不会影响公司的独立性。</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我们一致同意公司《关于收购参股公司股权的议案》，并同意将该议案提交公司第二届董事会第二十三次会议进行审议。</w:t>
      </w:r>
    </w:p>
    <w:p w:rsidR="00CE1BF3" w:rsidRPr="002F455B" w:rsidRDefault="00CE1BF3" w:rsidP="00CE1BF3">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（四）独立董事意见</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1</w:t>
      </w:r>
      <w:r w:rsidRPr="002F455B">
        <w:rPr>
          <w:rFonts w:ascii="Times New Roman" w:hAnsi="Times New Roman" w:hint="eastAsia"/>
          <w:sz w:val="24"/>
          <w:szCs w:val="28"/>
        </w:rPr>
        <w:t>、独立董事事前认可意见</w:t>
      </w:r>
    </w:p>
    <w:p w:rsidR="00CE1BF3" w:rsidRPr="002F455B" w:rsidRDefault="000A5CE8" w:rsidP="00CE1BF3">
      <w:pPr>
        <w:spacing w:beforeLines="50" w:before="156" w:line="360" w:lineRule="auto"/>
        <w:ind w:firstLineChars="200" w:firstLine="480"/>
        <w:rPr>
          <w:rFonts w:ascii="Times New Roman" w:hAnsi="Times New Roman"/>
          <w:sz w:val="24"/>
          <w:szCs w:val="28"/>
        </w:rPr>
      </w:pPr>
      <w:r>
        <w:rPr>
          <w:rFonts w:ascii="Times New Roman" w:hAnsi="Times New Roman" w:hint="eastAsia"/>
          <w:sz w:val="24"/>
          <w:szCs w:val="28"/>
        </w:rPr>
        <w:t>公司</w:t>
      </w:r>
      <w:r w:rsidR="00B601F1">
        <w:rPr>
          <w:rFonts w:ascii="Times New Roman" w:hAnsi="Times New Roman" w:hint="eastAsia"/>
          <w:sz w:val="24"/>
          <w:szCs w:val="28"/>
        </w:rPr>
        <w:t>本次</w:t>
      </w:r>
      <w:r>
        <w:rPr>
          <w:rFonts w:ascii="Times New Roman" w:hAnsi="Times New Roman" w:hint="eastAsia"/>
          <w:sz w:val="24"/>
          <w:szCs w:val="28"/>
        </w:rPr>
        <w:t>与关联方发生的</w:t>
      </w:r>
      <w:r w:rsidR="00CE1BF3" w:rsidRPr="002F455B">
        <w:rPr>
          <w:rFonts w:ascii="Times New Roman" w:hAnsi="Times New Roman" w:hint="eastAsia"/>
          <w:sz w:val="24"/>
          <w:szCs w:val="28"/>
        </w:rPr>
        <w:t>关联交易遵循公平、合理的原则，不存在违反相关法律、法规及《公司章程》的情况；交易价格遵循市场化原则，经交易各方充分协商，价格合理，没有违反公开、公平、公正的原则，不存在损害公司和中小股东的利益的行为。</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lastRenderedPageBreak/>
        <w:t>我们认为，上述交易行为系处于公司战略发展的需要，有利于促进公司健康发展。本次交易定价合理，因此我们同意将该议案提交至公司第二届董事会第二十三次会议审议。</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2</w:t>
      </w:r>
      <w:r w:rsidRPr="002F455B">
        <w:rPr>
          <w:rFonts w:ascii="Times New Roman" w:hAnsi="Times New Roman" w:hint="eastAsia"/>
          <w:sz w:val="24"/>
          <w:szCs w:val="28"/>
        </w:rPr>
        <w:t>、独立董事意见</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本次股权交易和技术交易事项遵循公平、合理的原则，不存在违反法律、法规及《公司章程》及相关制度规定的情形；交易价格遵循市场原则，经交易各方充分协商，价格合理，不存在损害公司和中小股东利益的行为。</w:t>
      </w:r>
    </w:p>
    <w:p w:rsidR="00CE1BF3" w:rsidRPr="002F455B" w:rsidRDefault="00CE1BF3" w:rsidP="00CE1BF3">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我们一致同意公司《关于收购参股公司股权的议案》《关于与参股公司签订技术许可协议暨关联交易的议案》，上述议案尚需股东大会审议通过。</w:t>
      </w:r>
    </w:p>
    <w:p w:rsidR="00CE1BF3" w:rsidRPr="002F455B" w:rsidRDefault="00CE1BF3" w:rsidP="00CE1BF3">
      <w:pPr>
        <w:spacing w:beforeLines="50" w:before="156" w:line="360" w:lineRule="auto"/>
        <w:ind w:firstLineChars="200" w:firstLine="482"/>
        <w:outlineLvl w:val="1"/>
        <w:rPr>
          <w:rFonts w:ascii="Times New Roman" w:hAnsi="Times New Roman"/>
          <w:b/>
          <w:sz w:val="24"/>
          <w:szCs w:val="28"/>
        </w:rPr>
      </w:pPr>
      <w:r w:rsidRPr="002F455B">
        <w:rPr>
          <w:rFonts w:ascii="Times New Roman" w:hAnsi="Times New Roman" w:hint="eastAsia"/>
          <w:b/>
          <w:sz w:val="24"/>
          <w:szCs w:val="28"/>
        </w:rPr>
        <w:t>（五）政府部门审批</w:t>
      </w:r>
    </w:p>
    <w:p w:rsidR="00CE1BF3" w:rsidRPr="002F455B" w:rsidRDefault="004F5414" w:rsidP="004F5414">
      <w:pPr>
        <w:spacing w:beforeLines="50" w:before="156" w:line="360" w:lineRule="auto"/>
        <w:ind w:firstLineChars="200" w:firstLine="480"/>
        <w:rPr>
          <w:rFonts w:ascii="Times New Roman" w:hAnsi="Times New Roman"/>
          <w:sz w:val="24"/>
          <w:szCs w:val="28"/>
        </w:rPr>
      </w:pPr>
      <w:r w:rsidRPr="004F5414">
        <w:rPr>
          <w:rFonts w:ascii="Times New Roman" w:hAnsi="Times New Roman" w:hint="eastAsia"/>
          <w:sz w:val="24"/>
          <w:szCs w:val="28"/>
        </w:rPr>
        <w:t>股权交易事项尚待取得国资主管部门的批准、就股权估值结果尚待履行相应国资监管手续、尚需完成安徽省发改委、商务厅等中国</w:t>
      </w:r>
      <w:r>
        <w:rPr>
          <w:rFonts w:ascii="Times New Roman" w:hAnsi="Times New Roman" w:hint="eastAsia"/>
          <w:sz w:val="24"/>
          <w:szCs w:val="28"/>
        </w:rPr>
        <w:t>政府部门审批；技术交易及股权交易尚需获得意大利政府有关部门审批</w:t>
      </w:r>
      <w:r w:rsidR="00CE1BF3" w:rsidRPr="002F455B">
        <w:rPr>
          <w:rFonts w:ascii="Times New Roman" w:hAnsi="Times New Roman" w:hint="eastAsia"/>
          <w:sz w:val="24"/>
          <w:szCs w:val="28"/>
        </w:rPr>
        <w:t>。</w:t>
      </w:r>
    </w:p>
    <w:p w:rsidR="00290997" w:rsidRPr="002F455B" w:rsidRDefault="00CE1BF3" w:rsidP="00290997">
      <w:pPr>
        <w:spacing w:beforeLines="50" w:before="156" w:afterLines="50" w:after="156" w:line="360" w:lineRule="auto"/>
        <w:ind w:firstLineChars="200" w:firstLine="482"/>
        <w:outlineLvl w:val="0"/>
        <w:rPr>
          <w:rFonts w:ascii="Times New Roman" w:hAnsi="Times New Roman"/>
          <w:b/>
          <w:bCs/>
          <w:sz w:val="24"/>
          <w:szCs w:val="32"/>
        </w:rPr>
      </w:pPr>
      <w:r w:rsidRPr="002F455B">
        <w:rPr>
          <w:rFonts w:ascii="Times New Roman" w:hAnsi="Times New Roman"/>
          <w:b/>
          <w:bCs/>
          <w:sz w:val="24"/>
          <w:szCs w:val="32"/>
        </w:rPr>
        <w:t>七</w:t>
      </w:r>
      <w:r w:rsidR="00290997" w:rsidRPr="002F455B">
        <w:rPr>
          <w:rFonts w:ascii="Times New Roman" w:hAnsi="Times New Roman"/>
          <w:b/>
          <w:bCs/>
          <w:sz w:val="24"/>
          <w:szCs w:val="32"/>
        </w:rPr>
        <w:t>、</w:t>
      </w:r>
      <w:r w:rsidR="00290997" w:rsidRPr="002F455B">
        <w:rPr>
          <w:rFonts w:ascii="Times New Roman" w:hAnsi="Times New Roman" w:hint="eastAsia"/>
          <w:b/>
          <w:bCs/>
          <w:sz w:val="24"/>
          <w:szCs w:val="32"/>
        </w:rPr>
        <w:t>保荐机构</w:t>
      </w:r>
      <w:r w:rsidR="00290997" w:rsidRPr="002F455B">
        <w:rPr>
          <w:rFonts w:ascii="Times New Roman" w:hAnsi="Times New Roman"/>
          <w:b/>
          <w:bCs/>
          <w:sz w:val="24"/>
          <w:szCs w:val="32"/>
        </w:rPr>
        <w:t>核查意见</w:t>
      </w:r>
    </w:p>
    <w:p w:rsidR="00290997" w:rsidRPr="002F455B" w:rsidRDefault="00290997" w:rsidP="00290997">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经核查，</w:t>
      </w:r>
      <w:r w:rsidRPr="002F455B">
        <w:rPr>
          <w:rFonts w:ascii="Times New Roman" w:hAnsi="Times New Roman" w:hint="eastAsia"/>
          <w:sz w:val="24"/>
          <w:szCs w:val="28"/>
        </w:rPr>
        <w:t>保荐机构</w:t>
      </w:r>
      <w:r w:rsidRPr="002F455B">
        <w:rPr>
          <w:rFonts w:ascii="Times New Roman" w:hAnsi="Times New Roman"/>
          <w:sz w:val="24"/>
          <w:szCs w:val="28"/>
        </w:rPr>
        <w:t>认为：</w:t>
      </w:r>
    </w:p>
    <w:p w:rsidR="00623376" w:rsidRPr="002F455B" w:rsidRDefault="00623376" w:rsidP="00290997">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公司拟收购参股公司股权、签订技术许可协议暨关联交易事项已经董事会、监事会审议通过，全体独立董事发表了同意的独立意见</w:t>
      </w:r>
      <w:r w:rsidR="00876894">
        <w:rPr>
          <w:rFonts w:ascii="Times New Roman" w:hAnsi="Times New Roman" w:hint="eastAsia"/>
          <w:sz w:val="24"/>
          <w:szCs w:val="28"/>
        </w:rPr>
        <w:t>，尚需股东大会审议通过</w:t>
      </w:r>
      <w:r w:rsidRPr="002F455B">
        <w:rPr>
          <w:rFonts w:ascii="Times New Roman" w:hAnsi="Times New Roman" w:hint="eastAsia"/>
          <w:sz w:val="24"/>
          <w:szCs w:val="28"/>
        </w:rPr>
        <w:t>。公司履行的相关程序符合《上海证券交易所科创板股票上市规则》等法律、法规及规范性文件的要求和公司章程的规定。</w:t>
      </w:r>
    </w:p>
    <w:p w:rsidR="00623376" w:rsidRPr="002F455B" w:rsidRDefault="00623376" w:rsidP="00290997">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公司拟收购参股公司股权、签订技术许可协议暨关联交易事项的审议程序合法、依据充分；交易定价原则合理、公允，不存在损害公司及其他股东特别是中小股东合法权益的情形，也不会影响公司的独立性。</w:t>
      </w:r>
    </w:p>
    <w:p w:rsidR="00290997" w:rsidRPr="002F455B" w:rsidRDefault="00623376" w:rsidP="00290997">
      <w:pPr>
        <w:spacing w:beforeLines="50" w:before="156" w:line="360" w:lineRule="auto"/>
        <w:ind w:firstLineChars="200" w:firstLine="480"/>
        <w:rPr>
          <w:rFonts w:ascii="Times New Roman" w:hAnsi="Times New Roman"/>
          <w:sz w:val="24"/>
          <w:szCs w:val="28"/>
        </w:rPr>
      </w:pPr>
      <w:r w:rsidRPr="002F455B">
        <w:rPr>
          <w:rFonts w:ascii="Times New Roman" w:hAnsi="Times New Roman"/>
          <w:sz w:val="24"/>
          <w:szCs w:val="28"/>
        </w:rPr>
        <w:t>综上，保荐机构对</w:t>
      </w:r>
      <w:r w:rsidRPr="002F455B">
        <w:rPr>
          <w:rFonts w:ascii="Times New Roman" w:hAnsi="Times New Roman" w:hint="eastAsia"/>
          <w:sz w:val="24"/>
          <w:szCs w:val="28"/>
        </w:rPr>
        <w:t>公司拟收购参股公司股权、签订技术许可协议暨关联交易事项无异议。</w:t>
      </w:r>
    </w:p>
    <w:p w:rsidR="00290997" w:rsidRPr="002F455B" w:rsidRDefault="00290997" w:rsidP="00290997">
      <w:pPr>
        <w:spacing w:beforeLines="50" w:before="156" w:line="360" w:lineRule="auto"/>
        <w:ind w:firstLineChars="200" w:firstLine="480"/>
        <w:rPr>
          <w:rFonts w:ascii="Times New Roman" w:hAnsi="Times New Roman"/>
          <w:sz w:val="24"/>
          <w:szCs w:val="28"/>
        </w:rPr>
      </w:pPr>
      <w:r w:rsidRPr="002F455B">
        <w:rPr>
          <w:rFonts w:ascii="Times New Roman" w:hAnsi="Times New Roman" w:hint="eastAsia"/>
          <w:sz w:val="24"/>
          <w:szCs w:val="28"/>
        </w:rPr>
        <w:t>（以下无正文）</w:t>
      </w:r>
    </w:p>
    <w:p w:rsidR="00290997" w:rsidRPr="002F455B" w:rsidRDefault="00290997" w:rsidP="00290997">
      <w:pPr>
        <w:spacing w:beforeLines="50" w:before="156" w:line="360" w:lineRule="auto"/>
        <w:rPr>
          <w:rFonts w:ascii="Times New Roman" w:hAnsi="Times New Roman"/>
          <w:sz w:val="24"/>
          <w:szCs w:val="28"/>
        </w:rPr>
      </w:pPr>
      <w:r w:rsidRPr="002F455B">
        <w:rPr>
          <w:rFonts w:ascii="Times New Roman" w:hAnsi="Times New Roman"/>
          <w:sz w:val="24"/>
          <w:szCs w:val="28"/>
        </w:rPr>
        <w:br w:type="page"/>
      </w:r>
      <w:r w:rsidRPr="002F455B">
        <w:rPr>
          <w:rFonts w:ascii="Times New Roman" w:hAnsi="Times New Roman"/>
          <w:sz w:val="24"/>
          <w:szCs w:val="28"/>
        </w:rPr>
        <w:lastRenderedPageBreak/>
        <w:t>【本页无正文，为《</w:t>
      </w:r>
      <w:r w:rsidRPr="002F455B">
        <w:rPr>
          <w:rFonts w:ascii="Times New Roman" w:hAnsi="Times New Roman" w:hint="eastAsia"/>
          <w:sz w:val="24"/>
          <w:szCs w:val="28"/>
        </w:rPr>
        <w:t>国信证券股份有限公司关于埃夫特智能装备股份有限公司</w:t>
      </w:r>
      <w:r w:rsidR="00936845" w:rsidRPr="002F455B">
        <w:rPr>
          <w:rFonts w:ascii="Times New Roman" w:hAnsi="Times New Roman" w:hint="eastAsia"/>
          <w:sz w:val="24"/>
          <w:szCs w:val="28"/>
        </w:rPr>
        <w:t>收购参股公司股权、签订技术许可协议暨关联交易</w:t>
      </w:r>
      <w:r w:rsidRPr="002F455B">
        <w:rPr>
          <w:rFonts w:ascii="Times New Roman" w:hAnsi="Times New Roman"/>
          <w:sz w:val="24"/>
          <w:szCs w:val="28"/>
        </w:rPr>
        <w:t>》的</w:t>
      </w:r>
      <w:r w:rsidRPr="002F455B">
        <w:rPr>
          <w:rFonts w:ascii="Times New Roman" w:hAnsi="Times New Roman" w:hint="eastAsia"/>
          <w:sz w:val="24"/>
          <w:szCs w:val="28"/>
        </w:rPr>
        <w:t>签字</w:t>
      </w:r>
      <w:r w:rsidRPr="002F455B">
        <w:rPr>
          <w:rFonts w:ascii="Times New Roman" w:hAnsi="Times New Roman"/>
          <w:sz w:val="24"/>
          <w:szCs w:val="28"/>
        </w:rPr>
        <w:t>页】</w:t>
      </w:r>
    </w:p>
    <w:p w:rsidR="00290997" w:rsidRPr="002F455B" w:rsidRDefault="00857076" w:rsidP="00857076">
      <w:pPr>
        <w:spacing w:beforeLines="50" w:before="156" w:line="360" w:lineRule="auto"/>
        <w:ind w:firstLineChars="200" w:firstLine="480"/>
        <w:rPr>
          <w:rFonts w:ascii="Times New Roman" w:hAnsi="Times New Roman"/>
          <w:sz w:val="24"/>
          <w:szCs w:val="28"/>
        </w:rPr>
      </w:pPr>
      <w:bookmarkStart w:id="1" w:name="_GoBack"/>
      <w:r>
        <w:rPr>
          <w:rFonts w:ascii="Times New Roman" w:hAnsi="Times New Roman"/>
          <w:noProof/>
          <w:sz w:val="24"/>
          <w:szCs w:val="28"/>
        </w:rPr>
        <w:drawing>
          <wp:anchor distT="0" distB="0" distL="114300" distR="114300" simplePos="0" relativeHeight="251658240" behindDoc="0" locked="0" layoutInCell="1" allowOverlap="1">
            <wp:simplePos x="0" y="0"/>
            <wp:positionH relativeFrom="column">
              <wp:posOffset>-999068</wp:posOffset>
            </wp:positionH>
            <wp:positionV relativeFrom="paragraph">
              <wp:posOffset>-1607820</wp:posOffset>
            </wp:positionV>
            <wp:extent cx="7564967" cy="10701661"/>
            <wp:effectExtent l="0" t="0" r="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6883" cy="1070437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rsidR="00290997" w:rsidRPr="002F455B" w:rsidRDefault="00290997" w:rsidP="00290997">
      <w:pPr>
        <w:spacing w:beforeLines="50" w:before="156" w:line="360" w:lineRule="auto"/>
        <w:ind w:firstLineChars="200" w:firstLine="480"/>
        <w:rPr>
          <w:rFonts w:ascii="Times New Roman" w:hAnsi="Times New Roman"/>
          <w:sz w:val="24"/>
          <w:szCs w:val="28"/>
        </w:rPr>
      </w:pPr>
    </w:p>
    <w:p w:rsidR="00290997" w:rsidRPr="002F455B" w:rsidRDefault="00290997" w:rsidP="00B712B6">
      <w:pPr>
        <w:widowControl/>
        <w:spacing w:beforeLines="50" w:before="156" w:line="360" w:lineRule="auto"/>
        <w:ind w:firstLineChars="200" w:firstLine="480"/>
        <w:jc w:val="left"/>
        <w:rPr>
          <w:rFonts w:ascii="Times New Roman" w:hAnsi="Times New Roman"/>
          <w:kern w:val="0"/>
          <w:sz w:val="24"/>
          <w:szCs w:val="24"/>
        </w:rPr>
      </w:pPr>
    </w:p>
    <w:p w:rsidR="00290997" w:rsidRPr="002F455B" w:rsidRDefault="00290997" w:rsidP="00290997">
      <w:pPr>
        <w:widowControl/>
        <w:spacing w:beforeLines="50" w:before="156" w:line="360" w:lineRule="auto"/>
        <w:ind w:firstLineChars="200" w:firstLine="480"/>
        <w:jc w:val="left"/>
        <w:rPr>
          <w:rFonts w:ascii="Times New Roman" w:hAnsi="Times New Roman"/>
          <w:kern w:val="0"/>
          <w:sz w:val="24"/>
          <w:szCs w:val="24"/>
        </w:rPr>
      </w:pPr>
    </w:p>
    <w:tbl>
      <w:tblPr>
        <w:tblW w:w="0" w:type="auto"/>
        <w:tblInd w:w="108" w:type="dxa"/>
        <w:tblLayout w:type="fixed"/>
        <w:tblLook w:val="0000" w:firstRow="0" w:lastRow="0" w:firstColumn="0" w:lastColumn="0" w:noHBand="0" w:noVBand="0"/>
      </w:tblPr>
      <w:tblGrid>
        <w:gridCol w:w="2871"/>
        <w:gridCol w:w="240"/>
        <w:gridCol w:w="1910"/>
        <w:gridCol w:w="680"/>
        <w:gridCol w:w="1798"/>
      </w:tblGrid>
      <w:tr w:rsidR="002F455B" w:rsidRPr="002F455B" w:rsidTr="00C4769E">
        <w:tc>
          <w:tcPr>
            <w:tcW w:w="2871" w:type="dxa"/>
            <w:vAlign w:val="center"/>
          </w:tcPr>
          <w:p w:rsidR="00290997" w:rsidRPr="002F455B" w:rsidRDefault="00290997" w:rsidP="00C4769E">
            <w:pPr>
              <w:spacing w:line="360" w:lineRule="auto"/>
              <w:jc w:val="center"/>
              <w:rPr>
                <w:rFonts w:ascii="Times New Roman" w:hAnsi="Times New Roman"/>
                <w:sz w:val="24"/>
                <w:szCs w:val="24"/>
              </w:rPr>
            </w:pPr>
            <w:r w:rsidRPr="002F455B">
              <w:rPr>
                <w:rFonts w:ascii="Times New Roman" w:hAnsi="Times New Roman" w:hint="eastAsia"/>
                <w:sz w:val="24"/>
                <w:szCs w:val="24"/>
              </w:rPr>
              <w:t>保荐代表</w:t>
            </w:r>
            <w:r w:rsidRPr="002F455B">
              <w:rPr>
                <w:rFonts w:ascii="Times New Roman" w:hAnsi="Times New Roman"/>
                <w:sz w:val="24"/>
                <w:szCs w:val="24"/>
              </w:rPr>
              <w:t>人：</w:t>
            </w:r>
          </w:p>
        </w:tc>
        <w:tc>
          <w:tcPr>
            <w:tcW w:w="240" w:type="dxa"/>
            <w:vAlign w:val="center"/>
          </w:tcPr>
          <w:p w:rsidR="00290997" w:rsidRPr="002F455B" w:rsidRDefault="00290997" w:rsidP="00C4769E">
            <w:pPr>
              <w:spacing w:line="360" w:lineRule="auto"/>
              <w:jc w:val="center"/>
              <w:rPr>
                <w:rFonts w:ascii="Times New Roman" w:hAnsi="Times New Roman"/>
                <w:sz w:val="24"/>
                <w:szCs w:val="24"/>
              </w:rPr>
            </w:pPr>
          </w:p>
        </w:tc>
        <w:tc>
          <w:tcPr>
            <w:tcW w:w="1910" w:type="dxa"/>
            <w:tcBorders>
              <w:bottom w:val="single" w:sz="4" w:space="0" w:color="auto"/>
            </w:tcBorders>
            <w:vAlign w:val="center"/>
          </w:tcPr>
          <w:p w:rsidR="00290997" w:rsidRPr="002F455B" w:rsidRDefault="00290997" w:rsidP="00C4769E">
            <w:pPr>
              <w:spacing w:line="360" w:lineRule="auto"/>
              <w:jc w:val="center"/>
              <w:rPr>
                <w:rFonts w:ascii="Times New Roman" w:hAnsi="Times New Roman"/>
                <w:sz w:val="24"/>
                <w:szCs w:val="24"/>
              </w:rPr>
            </w:pPr>
          </w:p>
        </w:tc>
        <w:tc>
          <w:tcPr>
            <w:tcW w:w="680" w:type="dxa"/>
            <w:vAlign w:val="center"/>
          </w:tcPr>
          <w:p w:rsidR="00290997" w:rsidRPr="002F455B" w:rsidRDefault="00290997" w:rsidP="00C4769E">
            <w:pPr>
              <w:spacing w:line="360" w:lineRule="auto"/>
              <w:jc w:val="center"/>
              <w:rPr>
                <w:rFonts w:ascii="Times New Roman" w:hAnsi="Times New Roman"/>
                <w:sz w:val="24"/>
                <w:szCs w:val="24"/>
              </w:rPr>
            </w:pPr>
          </w:p>
        </w:tc>
        <w:tc>
          <w:tcPr>
            <w:tcW w:w="1798" w:type="dxa"/>
            <w:tcBorders>
              <w:bottom w:val="single" w:sz="4" w:space="0" w:color="auto"/>
            </w:tcBorders>
            <w:vAlign w:val="center"/>
          </w:tcPr>
          <w:p w:rsidR="00290997" w:rsidRPr="002F455B" w:rsidRDefault="00290997" w:rsidP="00C4769E">
            <w:pPr>
              <w:spacing w:line="360" w:lineRule="auto"/>
              <w:jc w:val="center"/>
              <w:rPr>
                <w:rFonts w:ascii="Times New Roman" w:hAnsi="Times New Roman"/>
                <w:sz w:val="24"/>
                <w:szCs w:val="24"/>
              </w:rPr>
            </w:pPr>
          </w:p>
        </w:tc>
      </w:tr>
      <w:tr w:rsidR="00290997" w:rsidRPr="002F455B" w:rsidTr="00C4769E">
        <w:tc>
          <w:tcPr>
            <w:tcW w:w="2871" w:type="dxa"/>
            <w:vAlign w:val="center"/>
          </w:tcPr>
          <w:p w:rsidR="00290997" w:rsidRPr="002F455B" w:rsidRDefault="00290997" w:rsidP="00C4769E">
            <w:pPr>
              <w:spacing w:line="360" w:lineRule="auto"/>
              <w:jc w:val="center"/>
              <w:rPr>
                <w:rFonts w:ascii="Times New Roman" w:hAnsi="Times New Roman"/>
                <w:sz w:val="24"/>
                <w:szCs w:val="24"/>
              </w:rPr>
            </w:pPr>
          </w:p>
        </w:tc>
        <w:tc>
          <w:tcPr>
            <w:tcW w:w="240" w:type="dxa"/>
            <w:vAlign w:val="center"/>
          </w:tcPr>
          <w:p w:rsidR="00290997" w:rsidRPr="002F455B" w:rsidRDefault="00290997" w:rsidP="00C4769E">
            <w:pPr>
              <w:spacing w:line="360" w:lineRule="auto"/>
              <w:jc w:val="center"/>
              <w:rPr>
                <w:rFonts w:ascii="Times New Roman" w:hAnsi="Times New Roman"/>
                <w:sz w:val="24"/>
                <w:szCs w:val="24"/>
              </w:rPr>
            </w:pPr>
          </w:p>
        </w:tc>
        <w:tc>
          <w:tcPr>
            <w:tcW w:w="1910" w:type="dxa"/>
            <w:tcBorders>
              <w:top w:val="single" w:sz="4" w:space="0" w:color="auto"/>
            </w:tcBorders>
            <w:vAlign w:val="center"/>
          </w:tcPr>
          <w:p w:rsidR="00290997" w:rsidRPr="002F455B" w:rsidRDefault="00290997" w:rsidP="00C4769E">
            <w:pPr>
              <w:spacing w:line="360" w:lineRule="auto"/>
              <w:jc w:val="center"/>
              <w:rPr>
                <w:rFonts w:ascii="Times New Roman" w:hAnsi="Times New Roman"/>
                <w:sz w:val="24"/>
                <w:szCs w:val="24"/>
              </w:rPr>
            </w:pPr>
            <w:proofErr w:type="gramStart"/>
            <w:r w:rsidRPr="002F455B">
              <w:rPr>
                <w:rFonts w:ascii="Times New Roman" w:hAnsi="Times New Roman" w:hint="eastAsia"/>
                <w:sz w:val="24"/>
                <w:szCs w:val="24"/>
              </w:rPr>
              <w:t>张存涛</w:t>
            </w:r>
            <w:proofErr w:type="gramEnd"/>
          </w:p>
        </w:tc>
        <w:tc>
          <w:tcPr>
            <w:tcW w:w="680" w:type="dxa"/>
            <w:vAlign w:val="center"/>
          </w:tcPr>
          <w:p w:rsidR="00290997" w:rsidRPr="002F455B" w:rsidRDefault="00290997" w:rsidP="00C4769E">
            <w:pPr>
              <w:spacing w:line="360" w:lineRule="auto"/>
              <w:jc w:val="center"/>
              <w:rPr>
                <w:rFonts w:ascii="Times New Roman" w:hAnsi="Times New Roman"/>
                <w:sz w:val="24"/>
                <w:szCs w:val="24"/>
              </w:rPr>
            </w:pPr>
          </w:p>
        </w:tc>
        <w:tc>
          <w:tcPr>
            <w:tcW w:w="1798" w:type="dxa"/>
            <w:tcBorders>
              <w:top w:val="single" w:sz="4" w:space="0" w:color="auto"/>
            </w:tcBorders>
            <w:vAlign w:val="center"/>
          </w:tcPr>
          <w:p w:rsidR="00290997" w:rsidRPr="002F455B" w:rsidRDefault="00290997" w:rsidP="00C4769E">
            <w:pPr>
              <w:spacing w:line="360" w:lineRule="auto"/>
              <w:jc w:val="center"/>
              <w:rPr>
                <w:rFonts w:ascii="Times New Roman" w:hAnsi="Times New Roman"/>
                <w:sz w:val="24"/>
                <w:szCs w:val="24"/>
              </w:rPr>
            </w:pPr>
            <w:proofErr w:type="gramStart"/>
            <w:r w:rsidRPr="002F455B">
              <w:rPr>
                <w:rFonts w:ascii="Times New Roman" w:hAnsi="Times New Roman" w:hint="eastAsia"/>
                <w:sz w:val="24"/>
                <w:szCs w:val="24"/>
              </w:rPr>
              <w:t>李明克</w:t>
            </w:r>
            <w:proofErr w:type="gramEnd"/>
          </w:p>
        </w:tc>
      </w:tr>
    </w:tbl>
    <w:p w:rsidR="00290997" w:rsidRPr="002F455B" w:rsidRDefault="00290997" w:rsidP="00290997">
      <w:pPr>
        <w:spacing w:afterLines="50" w:after="156" w:line="360" w:lineRule="auto"/>
        <w:rPr>
          <w:rFonts w:ascii="Times New Roman" w:hAnsi="Times New Roman"/>
          <w:sz w:val="24"/>
          <w:szCs w:val="24"/>
        </w:rPr>
      </w:pPr>
    </w:p>
    <w:p w:rsidR="00290997" w:rsidRPr="002F455B" w:rsidRDefault="00290997" w:rsidP="00290997">
      <w:pPr>
        <w:spacing w:afterLines="50" w:after="156" w:line="360" w:lineRule="auto"/>
        <w:rPr>
          <w:rFonts w:ascii="Times New Roman" w:hAnsi="Times New Roman"/>
          <w:sz w:val="24"/>
          <w:szCs w:val="24"/>
        </w:rPr>
      </w:pPr>
    </w:p>
    <w:p w:rsidR="00290997" w:rsidRPr="002F455B" w:rsidRDefault="00290997" w:rsidP="00290997">
      <w:pPr>
        <w:spacing w:afterLines="50" w:after="156" w:line="360" w:lineRule="auto"/>
        <w:rPr>
          <w:rFonts w:ascii="Times New Roman" w:hAnsi="Times New Roman"/>
          <w:sz w:val="24"/>
          <w:szCs w:val="24"/>
        </w:rPr>
      </w:pPr>
    </w:p>
    <w:p w:rsidR="00290997" w:rsidRPr="002F455B" w:rsidRDefault="00290997" w:rsidP="00290997">
      <w:pPr>
        <w:spacing w:afterLines="50" w:after="156" w:line="360" w:lineRule="auto"/>
        <w:rPr>
          <w:rFonts w:ascii="Times New Roman" w:hAnsi="Times New Roman"/>
          <w:sz w:val="24"/>
          <w:szCs w:val="24"/>
        </w:rPr>
      </w:pPr>
    </w:p>
    <w:p w:rsidR="00290997" w:rsidRPr="002F455B" w:rsidRDefault="00290997" w:rsidP="00290997">
      <w:pPr>
        <w:spacing w:afterLines="50" w:after="156" w:line="360" w:lineRule="auto"/>
        <w:jc w:val="right"/>
        <w:rPr>
          <w:rFonts w:ascii="Times New Roman" w:hAnsi="Times New Roman"/>
          <w:sz w:val="24"/>
          <w:szCs w:val="24"/>
        </w:rPr>
      </w:pPr>
      <w:r w:rsidRPr="002F455B">
        <w:rPr>
          <w:rFonts w:ascii="Times New Roman" w:hAnsi="Times New Roman"/>
          <w:sz w:val="24"/>
          <w:szCs w:val="24"/>
        </w:rPr>
        <w:t>国信证券股份有限公司</w:t>
      </w:r>
    </w:p>
    <w:p w:rsidR="00290997" w:rsidRPr="002F455B" w:rsidRDefault="00290997" w:rsidP="00290997">
      <w:pPr>
        <w:spacing w:afterLines="50" w:after="156" w:line="360" w:lineRule="auto"/>
        <w:jc w:val="right"/>
        <w:rPr>
          <w:rFonts w:ascii="Times New Roman" w:hAnsi="Times New Roman"/>
          <w:szCs w:val="24"/>
        </w:rPr>
      </w:pPr>
      <w:r w:rsidRPr="002F455B">
        <w:rPr>
          <w:rFonts w:ascii="Times New Roman" w:hAnsi="Times New Roman"/>
          <w:sz w:val="24"/>
          <w:szCs w:val="24"/>
        </w:rPr>
        <w:t xml:space="preserve">    </w:t>
      </w:r>
      <w:r w:rsidRPr="002F455B">
        <w:rPr>
          <w:rFonts w:ascii="Times New Roman" w:hAnsi="Times New Roman"/>
          <w:sz w:val="24"/>
          <w:szCs w:val="24"/>
        </w:rPr>
        <w:t>年</w:t>
      </w:r>
      <w:r w:rsidRPr="002F455B">
        <w:rPr>
          <w:rFonts w:ascii="Times New Roman" w:hAnsi="Times New Roman"/>
          <w:sz w:val="24"/>
          <w:szCs w:val="24"/>
        </w:rPr>
        <w:t xml:space="preserve">    </w:t>
      </w:r>
      <w:r w:rsidRPr="002F455B">
        <w:rPr>
          <w:rFonts w:ascii="Times New Roman" w:hAnsi="Times New Roman"/>
          <w:sz w:val="24"/>
          <w:szCs w:val="24"/>
        </w:rPr>
        <w:t>月</w:t>
      </w:r>
      <w:r w:rsidRPr="002F455B">
        <w:rPr>
          <w:rFonts w:ascii="Times New Roman" w:hAnsi="Times New Roman"/>
          <w:sz w:val="24"/>
          <w:szCs w:val="24"/>
        </w:rPr>
        <w:t xml:space="preserve">    </w:t>
      </w:r>
      <w:r w:rsidRPr="002F455B">
        <w:rPr>
          <w:rFonts w:ascii="Times New Roman" w:hAnsi="Times New Roman"/>
          <w:sz w:val="24"/>
          <w:szCs w:val="24"/>
        </w:rPr>
        <w:t>日</w:t>
      </w:r>
    </w:p>
    <w:p w:rsidR="00290997" w:rsidRPr="002F455B" w:rsidRDefault="00290997" w:rsidP="00290997"/>
    <w:p w:rsidR="00E5662E" w:rsidRPr="002F455B" w:rsidRDefault="00E5662E"/>
    <w:sectPr w:rsidR="00E5662E" w:rsidRPr="002F455B">
      <w:footerReference w:type="default" r:id="rId8"/>
      <w:pgSz w:w="11906" w:h="16838"/>
      <w:pgMar w:top="1440" w:right="1416" w:bottom="1440" w:left="15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9A" w:rsidRDefault="0020489A" w:rsidP="00290997">
      <w:r>
        <w:separator/>
      </w:r>
    </w:p>
  </w:endnote>
  <w:endnote w:type="continuationSeparator" w:id="0">
    <w:p w:rsidR="0020489A" w:rsidRDefault="0020489A" w:rsidP="0029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55" w:rsidRDefault="002D6728">
    <w:pPr>
      <w:pStyle w:val="a4"/>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PAGE   \* MERGEFORMAT</w:instrText>
    </w:r>
    <w:r>
      <w:rPr>
        <w:rFonts w:ascii="Times New Roman" w:hAnsi="Times New Roman"/>
        <w:sz w:val="21"/>
      </w:rPr>
      <w:fldChar w:fldCharType="separate"/>
    </w:r>
    <w:r w:rsidR="00857076" w:rsidRPr="00857076">
      <w:rPr>
        <w:rFonts w:ascii="Times New Roman" w:hAnsi="Times New Roman"/>
        <w:noProof/>
        <w:sz w:val="21"/>
        <w:lang w:val="zh-CN"/>
      </w:rPr>
      <w:t>10</w:t>
    </w:r>
    <w:r>
      <w:rPr>
        <w:rFonts w:ascii="Times New Roman" w:hAnsi="Times New Roman"/>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9A" w:rsidRDefault="0020489A" w:rsidP="00290997">
      <w:r>
        <w:separator/>
      </w:r>
    </w:p>
  </w:footnote>
  <w:footnote w:type="continuationSeparator" w:id="0">
    <w:p w:rsidR="0020489A" w:rsidRDefault="0020489A" w:rsidP="00290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67"/>
    <w:rsid w:val="000A5CE8"/>
    <w:rsid w:val="0020489A"/>
    <w:rsid w:val="0026006F"/>
    <w:rsid w:val="00290997"/>
    <w:rsid w:val="002D6728"/>
    <w:rsid w:val="002F455B"/>
    <w:rsid w:val="00455F75"/>
    <w:rsid w:val="004D300B"/>
    <w:rsid w:val="004F5414"/>
    <w:rsid w:val="0052144C"/>
    <w:rsid w:val="00531590"/>
    <w:rsid w:val="00541A5C"/>
    <w:rsid w:val="0058592C"/>
    <w:rsid w:val="00623376"/>
    <w:rsid w:val="0070207B"/>
    <w:rsid w:val="00707B59"/>
    <w:rsid w:val="007E6B49"/>
    <w:rsid w:val="00857076"/>
    <w:rsid w:val="00876894"/>
    <w:rsid w:val="00883136"/>
    <w:rsid w:val="0089169B"/>
    <w:rsid w:val="008B394F"/>
    <w:rsid w:val="008B78B7"/>
    <w:rsid w:val="00936845"/>
    <w:rsid w:val="009B6088"/>
    <w:rsid w:val="009E7355"/>
    <w:rsid w:val="00A03410"/>
    <w:rsid w:val="00A449E4"/>
    <w:rsid w:val="00B16E67"/>
    <w:rsid w:val="00B30EFD"/>
    <w:rsid w:val="00B601F1"/>
    <w:rsid w:val="00B712B6"/>
    <w:rsid w:val="00B9402A"/>
    <w:rsid w:val="00CE1BF3"/>
    <w:rsid w:val="00E21209"/>
    <w:rsid w:val="00E3461F"/>
    <w:rsid w:val="00E5662E"/>
    <w:rsid w:val="00EA6D9B"/>
    <w:rsid w:val="00EE31C1"/>
    <w:rsid w:val="00FD1998"/>
    <w:rsid w:val="00FF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99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9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0997"/>
    <w:rPr>
      <w:sz w:val="18"/>
      <w:szCs w:val="18"/>
    </w:rPr>
  </w:style>
  <w:style w:type="paragraph" w:styleId="a4">
    <w:name w:val="footer"/>
    <w:basedOn w:val="a"/>
    <w:link w:val="Char0"/>
    <w:uiPriority w:val="99"/>
    <w:unhideWhenUsed/>
    <w:qFormat/>
    <w:rsid w:val="002909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0997"/>
    <w:rPr>
      <w:sz w:val="18"/>
      <w:szCs w:val="18"/>
    </w:rPr>
  </w:style>
  <w:style w:type="table" w:styleId="a5">
    <w:name w:val="Table Grid"/>
    <w:basedOn w:val="a1"/>
    <w:rsid w:val="00290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712B6"/>
    <w:rPr>
      <w:sz w:val="18"/>
      <w:szCs w:val="18"/>
    </w:rPr>
  </w:style>
  <w:style w:type="character" w:customStyle="1" w:styleId="Char1">
    <w:name w:val="批注框文本 Char"/>
    <w:basedOn w:val="a0"/>
    <w:link w:val="a6"/>
    <w:uiPriority w:val="99"/>
    <w:semiHidden/>
    <w:rsid w:val="00B712B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99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9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0997"/>
    <w:rPr>
      <w:sz w:val="18"/>
      <w:szCs w:val="18"/>
    </w:rPr>
  </w:style>
  <w:style w:type="paragraph" w:styleId="a4">
    <w:name w:val="footer"/>
    <w:basedOn w:val="a"/>
    <w:link w:val="Char0"/>
    <w:uiPriority w:val="99"/>
    <w:unhideWhenUsed/>
    <w:qFormat/>
    <w:rsid w:val="002909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0997"/>
    <w:rPr>
      <w:sz w:val="18"/>
      <w:szCs w:val="18"/>
    </w:rPr>
  </w:style>
  <w:style w:type="table" w:styleId="a5">
    <w:name w:val="Table Grid"/>
    <w:basedOn w:val="a1"/>
    <w:rsid w:val="00290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712B6"/>
    <w:rPr>
      <w:sz w:val="18"/>
      <w:szCs w:val="18"/>
    </w:rPr>
  </w:style>
  <w:style w:type="character" w:customStyle="1" w:styleId="Char1">
    <w:name w:val="批注框文本 Char"/>
    <w:basedOn w:val="a0"/>
    <w:link w:val="a6"/>
    <w:uiPriority w:val="99"/>
    <w:semiHidden/>
    <w:rsid w:val="00B712B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1109</Words>
  <Characters>6322</Characters>
  <Application>Microsoft Office Word</Application>
  <DocSecurity>0</DocSecurity>
  <Lines>52</Lines>
  <Paragraphs>14</Paragraphs>
  <ScaleCrop>false</ScaleCrop>
  <Company>Microsoft</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赵辰恺 11966</dc:creator>
  <cp:lastModifiedBy>赵辰恺 11966</cp:lastModifiedBy>
  <cp:revision>4</cp:revision>
  <cp:lastPrinted>2022-03-10T02:26:00Z</cp:lastPrinted>
  <dcterms:created xsi:type="dcterms:W3CDTF">2022-03-10T02:24:00Z</dcterms:created>
  <dcterms:modified xsi:type="dcterms:W3CDTF">2022-03-10T02:28:00Z</dcterms:modified>
</cp:coreProperties>
</file>