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39EF" w14:textId="77777777" w:rsidR="00CF2A19" w:rsidRPr="00CF2A19" w:rsidRDefault="00CF2A19" w:rsidP="00CF2A19">
      <w:pPr>
        <w:widowControl/>
        <w:adjustRightInd w:val="0"/>
        <w:snapToGrid w:val="0"/>
        <w:spacing w:line="360" w:lineRule="auto"/>
        <w:jc w:val="center"/>
        <w:rPr>
          <w:rFonts w:ascii="Times New Roman" w:eastAsia="黑体" w:hAnsi="Times New Roman"/>
          <w:b/>
          <w:kern w:val="0"/>
          <w:sz w:val="28"/>
          <w:szCs w:val="36"/>
        </w:rPr>
      </w:pPr>
      <w:r w:rsidRPr="00CF2A19">
        <w:rPr>
          <w:rFonts w:ascii="Times New Roman" w:eastAsia="黑体" w:hAnsi="Times New Roman"/>
          <w:b/>
          <w:kern w:val="0"/>
          <w:sz w:val="28"/>
          <w:szCs w:val="36"/>
        </w:rPr>
        <w:t>国信证券股份有限公司</w:t>
      </w:r>
    </w:p>
    <w:p w14:paraId="77A743C9" w14:textId="77777777" w:rsidR="00CF2A19" w:rsidRPr="00CF2A19" w:rsidRDefault="00CF2A19" w:rsidP="00CF2A19">
      <w:pPr>
        <w:widowControl/>
        <w:adjustRightInd w:val="0"/>
        <w:snapToGrid w:val="0"/>
        <w:spacing w:line="360" w:lineRule="auto"/>
        <w:jc w:val="center"/>
        <w:rPr>
          <w:rFonts w:ascii="Times New Roman" w:eastAsia="黑体" w:hAnsi="Times New Roman"/>
          <w:b/>
          <w:kern w:val="0"/>
          <w:sz w:val="28"/>
          <w:szCs w:val="36"/>
        </w:rPr>
      </w:pPr>
      <w:r w:rsidRPr="00CF2A19">
        <w:rPr>
          <w:rFonts w:ascii="Times New Roman" w:eastAsia="黑体" w:hAnsi="Times New Roman"/>
          <w:b/>
          <w:kern w:val="0"/>
          <w:sz w:val="28"/>
          <w:szCs w:val="36"/>
        </w:rPr>
        <w:t>关于</w:t>
      </w:r>
      <w:r w:rsidRPr="00CF2A19">
        <w:rPr>
          <w:rFonts w:ascii="Times New Roman" w:eastAsia="黑体" w:hAnsi="Times New Roman" w:hint="eastAsia"/>
          <w:b/>
          <w:kern w:val="0"/>
          <w:sz w:val="28"/>
          <w:szCs w:val="36"/>
        </w:rPr>
        <w:t>埃夫</w:t>
      </w:r>
      <w:proofErr w:type="gramStart"/>
      <w:r w:rsidRPr="00CF2A19">
        <w:rPr>
          <w:rFonts w:ascii="Times New Roman" w:eastAsia="黑体" w:hAnsi="Times New Roman" w:hint="eastAsia"/>
          <w:b/>
          <w:kern w:val="0"/>
          <w:sz w:val="28"/>
          <w:szCs w:val="36"/>
        </w:rPr>
        <w:t>特</w:t>
      </w:r>
      <w:proofErr w:type="gramEnd"/>
      <w:r w:rsidRPr="00CF2A19">
        <w:rPr>
          <w:rFonts w:ascii="Times New Roman" w:eastAsia="黑体" w:hAnsi="Times New Roman" w:hint="eastAsia"/>
          <w:b/>
          <w:kern w:val="0"/>
          <w:sz w:val="28"/>
          <w:szCs w:val="36"/>
        </w:rPr>
        <w:t>智能装备</w:t>
      </w:r>
      <w:r w:rsidRPr="00CF2A19">
        <w:rPr>
          <w:rFonts w:ascii="Times New Roman" w:eastAsia="黑体" w:hAnsi="Times New Roman"/>
          <w:b/>
          <w:kern w:val="0"/>
          <w:sz w:val="28"/>
          <w:szCs w:val="36"/>
        </w:rPr>
        <w:t>股份有限公司</w:t>
      </w:r>
    </w:p>
    <w:p w14:paraId="66E07E89" w14:textId="77777777" w:rsidR="00CF2A19" w:rsidRPr="00CF2A19" w:rsidRDefault="00CF2A19" w:rsidP="00CF2A19">
      <w:pPr>
        <w:widowControl/>
        <w:adjustRightInd w:val="0"/>
        <w:snapToGrid w:val="0"/>
        <w:spacing w:line="360" w:lineRule="auto"/>
        <w:jc w:val="center"/>
        <w:rPr>
          <w:rFonts w:ascii="Times New Roman" w:eastAsia="黑体" w:hAnsi="Times New Roman"/>
          <w:b/>
          <w:kern w:val="0"/>
          <w:sz w:val="28"/>
          <w:szCs w:val="36"/>
        </w:rPr>
      </w:pPr>
      <w:r w:rsidRPr="00CF2A19">
        <w:rPr>
          <w:rFonts w:ascii="Times New Roman" w:eastAsia="黑体" w:hAnsi="Times New Roman" w:hint="eastAsia"/>
          <w:b/>
          <w:kern w:val="0"/>
          <w:sz w:val="28"/>
          <w:szCs w:val="36"/>
        </w:rPr>
        <w:t>首次公开发行部分限售股解禁上市流通的核查意见</w:t>
      </w:r>
    </w:p>
    <w:p w14:paraId="4D634C2C"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sz w:val="24"/>
          <w:szCs w:val="28"/>
        </w:rPr>
        <w:t>国信证券股份有限公司（以下简称</w:t>
      </w:r>
      <w:r w:rsidRPr="00CF2A19">
        <w:rPr>
          <w:rFonts w:ascii="Times New Roman" w:hAnsi="Times New Roman"/>
          <w:sz w:val="24"/>
          <w:szCs w:val="28"/>
        </w:rPr>
        <w:t>“</w:t>
      </w:r>
      <w:r w:rsidRPr="00CF2A19">
        <w:rPr>
          <w:rFonts w:ascii="Times New Roman" w:hAnsi="Times New Roman"/>
          <w:sz w:val="24"/>
          <w:szCs w:val="28"/>
        </w:rPr>
        <w:t>国信证券</w:t>
      </w:r>
      <w:r w:rsidRPr="00CF2A19">
        <w:rPr>
          <w:rFonts w:ascii="Times New Roman" w:hAnsi="Times New Roman"/>
          <w:sz w:val="24"/>
          <w:szCs w:val="28"/>
        </w:rPr>
        <w:t>”</w:t>
      </w:r>
      <w:r w:rsidRPr="00CF2A19">
        <w:rPr>
          <w:rFonts w:ascii="Times New Roman" w:hAnsi="Times New Roman"/>
          <w:sz w:val="24"/>
          <w:szCs w:val="28"/>
        </w:rPr>
        <w:t>或</w:t>
      </w:r>
      <w:r w:rsidRPr="00CF2A19">
        <w:rPr>
          <w:rFonts w:ascii="Times New Roman" w:hAnsi="Times New Roman"/>
          <w:sz w:val="24"/>
          <w:szCs w:val="28"/>
        </w:rPr>
        <w:t>“</w:t>
      </w:r>
      <w:r w:rsidRPr="00CF2A19">
        <w:rPr>
          <w:rFonts w:ascii="Times New Roman" w:hAnsi="Times New Roman" w:hint="eastAsia"/>
          <w:sz w:val="24"/>
          <w:szCs w:val="28"/>
        </w:rPr>
        <w:t>保荐机构</w:t>
      </w:r>
      <w:r w:rsidRPr="00CF2A19">
        <w:rPr>
          <w:rFonts w:ascii="Times New Roman" w:hAnsi="Times New Roman"/>
          <w:sz w:val="24"/>
          <w:szCs w:val="28"/>
        </w:rPr>
        <w:t>”</w:t>
      </w:r>
      <w:r w:rsidRPr="00CF2A19">
        <w:rPr>
          <w:rFonts w:ascii="Times New Roman" w:hAnsi="Times New Roman"/>
          <w:sz w:val="24"/>
          <w:szCs w:val="28"/>
        </w:rPr>
        <w:t>）作为</w:t>
      </w:r>
      <w:r w:rsidRPr="00CF2A19">
        <w:rPr>
          <w:rFonts w:ascii="Times New Roman" w:hAnsi="Times New Roman" w:hint="eastAsia"/>
          <w:sz w:val="24"/>
          <w:szCs w:val="28"/>
        </w:rPr>
        <w:t>埃夫</w:t>
      </w:r>
      <w:proofErr w:type="gramStart"/>
      <w:r w:rsidRPr="00CF2A19">
        <w:rPr>
          <w:rFonts w:ascii="Times New Roman" w:hAnsi="Times New Roman" w:hint="eastAsia"/>
          <w:sz w:val="24"/>
          <w:szCs w:val="28"/>
        </w:rPr>
        <w:t>特</w:t>
      </w:r>
      <w:proofErr w:type="gramEnd"/>
      <w:r w:rsidRPr="00CF2A19">
        <w:rPr>
          <w:rFonts w:ascii="Times New Roman" w:hAnsi="Times New Roman" w:hint="eastAsia"/>
          <w:sz w:val="24"/>
          <w:szCs w:val="28"/>
        </w:rPr>
        <w:t>智能装备股份有限公司（以下简称“埃夫特”或“公司”）首次公开发行股票并在</w:t>
      </w:r>
      <w:proofErr w:type="gramStart"/>
      <w:r w:rsidRPr="00CF2A19">
        <w:rPr>
          <w:rFonts w:ascii="Times New Roman" w:hAnsi="Times New Roman" w:hint="eastAsia"/>
          <w:sz w:val="24"/>
          <w:szCs w:val="28"/>
        </w:rPr>
        <w:t>科创板</w:t>
      </w:r>
      <w:proofErr w:type="gramEnd"/>
      <w:r w:rsidRPr="00CF2A19">
        <w:rPr>
          <w:rFonts w:ascii="Times New Roman" w:hAnsi="Times New Roman" w:hint="eastAsia"/>
          <w:sz w:val="24"/>
          <w:szCs w:val="28"/>
        </w:rPr>
        <w:t>上市的保荐机构，根据《中华人民共和国公司法》、《中华人民共和国证券法》、《证券发行上市保荐业务管理办法》、《上海证券交易所科创板股票上市规则》、《上海证券交易所上市公司持续督导工作指引》等法律、法规和规范性文件的要求，对</w:t>
      </w:r>
      <w:proofErr w:type="gramStart"/>
      <w:r w:rsidRPr="00CF2A19">
        <w:rPr>
          <w:rFonts w:ascii="Times New Roman" w:hAnsi="Times New Roman" w:hint="eastAsia"/>
          <w:sz w:val="24"/>
          <w:szCs w:val="28"/>
        </w:rPr>
        <w:t>埃夫特首次</w:t>
      </w:r>
      <w:proofErr w:type="gramEnd"/>
      <w:r w:rsidRPr="00CF2A19">
        <w:rPr>
          <w:rFonts w:ascii="Times New Roman" w:hAnsi="Times New Roman" w:hint="eastAsia"/>
          <w:sz w:val="24"/>
          <w:szCs w:val="28"/>
        </w:rPr>
        <w:t>公开发行部分限售股解禁上市流通事项进行了核查，核查情况及核查意见如下：</w:t>
      </w:r>
    </w:p>
    <w:p w14:paraId="756E1E3B" w14:textId="77777777" w:rsidR="00CF2A19" w:rsidRPr="00CF2A19" w:rsidRDefault="00CF2A19" w:rsidP="00CF2A19">
      <w:pPr>
        <w:spacing w:beforeLines="50" w:before="156" w:afterLines="50" w:after="156" w:line="360" w:lineRule="auto"/>
        <w:ind w:firstLineChars="200" w:firstLine="482"/>
        <w:outlineLvl w:val="0"/>
        <w:rPr>
          <w:rFonts w:ascii="Times New Roman" w:hAnsi="Times New Roman"/>
          <w:b/>
          <w:bCs/>
          <w:sz w:val="24"/>
          <w:szCs w:val="32"/>
        </w:rPr>
      </w:pPr>
      <w:r w:rsidRPr="00CF2A19">
        <w:rPr>
          <w:rFonts w:ascii="Times New Roman" w:hAnsi="Times New Roman"/>
          <w:b/>
          <w:bCs/>
          <w:sz w:val="24"/>
          <w:szCs w:val="32"/>
        </w:rPr>
        <w:t>一、</w:t>
      </w:r>
      <w:r w:rsidRPr="00CF2A19">
        <w:rPr>
          <w:rFonts w:ascii="Times New Roman" w:hAnsi="Times New Roman" w:hint="eastAsia"/>
          <w:b/>
          <w:bCs/>
          <w:sz w:val="24"/>
          <w:szCs w:val="32"/>
        </w:rPr>
        <w:t>本次上市流通的限售股类型</w:t>
      </w:r>
    </w:p>
    <w:p w14:paraId="1C8AAD01"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中国证券监督管理委员会出具《关于同意埃夫特智能装备股份有限公司首次公开发行股票注册的批复》（证监许可</w:t>
      </w:r>
      <w:r w:rsidRPr="00CF2A19">
        <w:rPr>
          <w:rFonts w:ascii="Times New Roman" w:hAnsi="Times New Roman" w:hint="eastAsia"/>
          <w:sz w:val="24"/>
          <w:szCs w:val="28"/>
        </w:rPr>
        <w:t>[2020]1088</w:t>
      </w:r>
      <w:r w:rsidRPr="00CF2A19">
        <w:rPr>
          <w:rFonts w:ascii="Times New Roman" w:hAnsi="Times New Roman" w:hint="eastAsia"/>
          <w:sz w:val="24"/>
          <w:szCs w:val="28"/>
        </w:rPr>
        <w:t>号），同意公司首次公开发行股票的注册申请。公司首次向社会公众公开发行人民币普通股（</w:t>
      </w:r>
      <w:r w:rsidRPr="00CF2A19">
        <w:rPr>
          <w:rFonts w:ascii="Times New Roman" w:hAnsi="Times New Roman" w:hint="eastAsia"/>
          <w:sz w:val="24"/>
          <w:szCs w:val="28"/>
        </w:rPr>
        <w:t>A</w:t>
      </w:r>
      <w:r w:rsidRPr="00CF2A19">
        <w:rPr>
          <w:rFonts w:ascii="Times New Roman" w:hAnsi="Times New Roman" w:hint="eastAsia"/>
          <w:sz w:val="24"/>
          <w:szCs w:val="28"/>
        </w:rPr>
        <w:t>股）股票</w:t>
      </w:r>
      <w:r w:rsidRPr="00CF2A19">
        <w:rPr>
          <w:rFonts w:ascii="Times New Roman" w:hAnsi="Times New Roman" w:hint="eastAsia"/>
          <w:sz w:val="24"/>
          <w:szCs w:val="28"/>
        </w:rPr>
        <w:t>130,446,838</w:t>
      </w:r>
      <w:r w:rsidRPr="00CF2A19">
        <w:rPr>
          <w:rFonts w:ascii="Times New Roman" w:hAnsi="Times New Roman" w:hint="eastAsia"/>
          <w:sz w:val="24"/>
          <w:szCs w:val="28"/>
        </w:rPr>
        <w:t>股，并于</w:t>
      </w:r>
      <w:r w:rsidRPr="00CF2A19">
        <w:rPr>
          <w:rFonts w:ascii="Times New Roman" w:hAnsi="Times New Roman" w:hint="eastAsia"/>
          <w:sz w:val="24"/>
          <w:szCs w:val="28"/>
        </w:rPr>
        <w:t>2020</w:t>
      </w:r>
      <w:r w:rsidRPr="00CF2A19">
        <w:rPr>
          <w:rFonts w:ascii="Times New Roman" w:hAnsi="Times New Roman" w:hint="eastAsia"/>
          <w:sz w:val="24"/>
          <w:szCs w:val="28"/>
        </w:rPr>
        <w:t>年</w:t>
      </w:r>
      <w:r w:rsidRPr="00CF2A19">
        <w:rPr>
          <w:rFonts w:ascii="Times New Roman" w:hAnsi="Times New Roman" w:hint="eastAsia"/>
          <w:sz w:val="24"/>
          <w:szCs w:val="28"/>
        </w:rPr>
        <w:t>7</w:t>
      </w:r>
      <w:r w:rsidRPr="00CF2A19">
        <w:rPr>
          <w:rFonts w:ascii="Times New Roman" w:hAnsi="Times New Roman" w:hint="eastAsia"/>
          <w:sz w:val="24"/>
          <w:szCs w:val="28"/>
        </w:rPr>
        <w:t>月</w:t>
      </w:r>
      <w:r w:rsidRPr="00CF2A19">
        <w:rPr>
          <w:rFonts w:ascii="Times New Roman" w:hAnsi="Times New Roman" w:hint="eastAsia"/>
          <w:sz w:val="24"/>
          <w:szCs w:val="28"/>
        </w:rPr>
        <w:t>15</w:t>
      </w:r>
      <w:r w:rsidRPr="00CF2A19">
        <w:rPr>
          <w:rFonts w:ascii="Times New Roman" w:hAnsi="Times New Roman" w:hint="eastAsia"/>
          <w:sz w:val="24"/>
          <w:szCs w:val="28"/>
        </w:rPr>
        <w:t>日在上海证券交易所</w:t>
      </w:r>
      <w:proofErr w:type="gramStart"/>
      <w:r w:rsidRPr="00CF2A19">
        <w:rPr>
          <w:rFonts w:ascii="Times New Roman" w:hAnsi="Times New Roman" w:hint="eastAsia"/>
          <w:sz w:val="24"/>
          <w:szCs w:val="28"/>
        </w:rPr>
        <w:t>科创板</w:t>
      </w:r>
      <w:proofErr w:type="gramEnd"/>
      <w:r w:rsidRPr="00CF2A19">
        <w:rPr>
          <w:rFonts w:ascii="Times New Roman" w:hAnsi="Times New Roman" w:hint="eastAsia"/>
          <w:sz w:val="24"/>
          <w:szCs w:val="28"/>
        </w:rPr>
        <w:t>上市，发行完成后总股本为</w:t>
      </w:r>
      <w:r w:rsidRPr="00CF2A19">
        <w:rPr>
          <w:rFonts w:ascii="Times New Roman" w:hAnsi="Times New Roman" w:hint="eastAsia"/>
          <w:sz w:val="24"/>
          <w:szCs w:val="28"/>
        </w:rPr>
        <w:t>521,780,000</w:t>
      </w:r>
      <w:r w:rsidRPr="00CF2A19">
        <w:rPr>
          <w:rFonts w:ascii="Times New Roman" w:hAnsi="Times New Roman" w:hint="eastAsia"/>
          <w:sz w:val="24"/>
          <w:szCs w:val="28"/>
        </w:rPr>
        <w:t>股，其中有限</w:t>
      </w:r>
      <w:proofErr w:type="gramStart"/>
      <w:r w:rsidRPr="00CF2A19">
        <w:rPr>
          <w:rFonts w:ascii="Times New Roman" w:hAnsi="Times New Roman" w:hint="eastAsia"/>
          <w:sz w:val="24"/>
          <w:szCs w:val="28"/>
        </w:rPr>
        <w:t>售条件</w:t>
      </w:r>
      <w:proofErr w:type="gramEnd"/>
      <w:r w:rsidRPr="00CF2A19">
        <w:rPr>
          <w:rFonts w:ascii="Times New Roman" w:hAnsi="Times New Roman" w:hint="eastAsia"/>
          <w:sz w:val="24"/>
          <w:szCs w:val="28"/>
        </w:rPr>
        <w:t>流通股</w:t>
      </w:r>
      <w:r w:rsidRPr="00CF2A19">
        <w:rPr>
          <w:rFonts w:ascii="Times New Roman" w:hAnsi="Times New Roman" w:hint="eastAsia"/>
          <w:sz w:val="24"/>
          <w:szCs w:val="28"/>
        </w:rPr>
        <w:t>403,745,196</w:t>
      </w:r>
      <w:r w:rsidRPr="00CF2A19">
        <w:rPr>
          <w:rFonts w:ascii="Times New Roman" w:hAnsi="Times New Roman" w:hint="eastAsia"/>
          <w:sz w:val="24"/>
          <w:szCs w:val="28"/>
        </w:rPr>
        <w:t>股，无限</w:t>
      </w:r>
      <w:proofErr w:type="gramStart"/>
      <w:r w:rsidRPr="00CF2A19">
        <w:rPr>
          <w:rFonts w:ascii="Times New Roman" w:hAnsi="Times New Roman" w:hint="eastAsia"/>
          <w:sz w:val="24"/>
          <w:szCs w:val="28"/>
        </w:rPr>
        <w:t>售条件</w:t>
      </w:r>
      <w:proofErr w:type="gramEnd"/>
      <w:r w:rsidRPr="00CF2A19">
        <w:rPr>
          <w:rFonts w:ascii="Times New Roman" w:hAnsi="Times New Roman" w:hint="eastAsia"/>
          <w:sz w:val="24"/>
          <w:szCs w:val="28"/>
        </w:rPr>
        <w:t>流通股</w:t>
      </w:r>
      <w:r w:rsidRPr="00CF2A19">
        <w:rPr>
          <w:rFonts w:ascii="Times New Roman" w:hAnsi="Times New Roman" w:hint="eastAsia"/>
          <w:sz w:val="24"/>
          <w:szCs w:val="28"/>
        </w:rPr>
        <w:t>118,034,804</w:t>
      </w:r>
      <w:r w:rsidRPr="00CF2A19">
        <w:rPr>
          <w:rFonts w:ascii="Times New Roman" w:hAnsi="Times New Roman" w:hint="eastAsia"/>
          <w:sz w:val="24"/>
          <w:szCs w:val="28"/>
        </w:rPr>
        <w:t>股。公司首次公开发行网下配售的</w:t>
      </w:r>
      <w:r w:rsidRPr="00CF2A19">
        <w:rPr>
          <w:rFonts w:ascii="Times New Roman" w:hAnsi="Times New Roman" w:hint="eastAsia"/>
          <w:sz w:val="24"/>
          <w:szCs w:val="28"/>
        </w:rPr>
        <w:t>6,112,822</w:t>
      </w:r>
      <w:r w:rsidRPr="00CF2A19">
        <w:rPr>
          <w:rFonts w:ascii="Times New Roman" w:hAnsi="Times New Roman" w:hint="eastAsia"/>
          <w:sz w:val="24"/>
          <w:szCs w:val="28"/>
        </w:rPr>
        <w:t>股限售股已于</w:t>
      </w:r>
      <w:r w:rsidRPr="00CF2A19">
        <w:rPr>
          <w:rFonts w:ascii="Times New Roman" w:hAnsi="Times New Roman" w:hint="eastAsia"/>
          <w:sz w:val="24"/>
          <w:szCs w:val="28"/>
        </w:rPr>
        <w:t>2021</w:t>
      </w:r>
      <w:r w:rsidRPr="00CF2A19">
        <w:rPr>
          <w:rFonts w:ascii="Times New Roman" w:hAnsi="Times New Roman" w:hint="eastAsia"/>
          <w:sz w:val="24"/>
          <w:szCs w:val="28"/>
        </w:rPr>
        <w:t>年</w:t>
      </w:r>
      <w:r w:rsidRPr="00CF2A19">
        <w:rPr>
          <w:rFonts w:ascii="Times New Roman" w:hAnsi="Times New Roman" w:hint="eastAsia"/>
          <w:sz w:val="24"/>
          <w:szCs w:val="28"/>
        </w:rPr>
        <w:t>1</w:t>
      </w:r>
      <w:r w:rsidRPr="00CF2A19">
        <w:rPr>
          <w:rFonts w:ascii="Times New Roman" w:hAnsi="Times New Roman" w:hint="eastAsia"/>
          <w:sz w:val="24"/>
          <w:szCs w:val="28"/>
        </w:rPr>
        <w:t>月</w:t>
      </w:r>
      <w:r w:rsidRPr="00CF2A19">
        <w:rPr>
          <w:rFonts w:ascii="Times New Roman" w:hAnsi="Times New Roman" w:hint="eastAsia"/>
          <w:sz w:val="24"/>
          <w:szCs w:val="28"/>
        </w:rPr>
        <w:t>15</w:t>
      </w:r>
      <w:r w:rsidRPr="00CF2A19">
        <w:rPr>
          <w:rFonts w:ascii="Times New Roman" w:hAnsi="Times New Roman" w:hint="eastAsia"/>
          <w:sz w:val="24"/>
          <w:szCs w:val="28"/>
        </w:rPr>
        <w:t>日上市流通。公司首次公开发行限售股中</w:t>
      </w:r>
      <w:r w:rsidRPr="00CF2A19">
        <w:rPr>
          <w:rFonts w:ascii="Times New Roman" w:hAnsi="Times New Roman" w:hint="eastAsia"/>
          <w:sz w:val="24"/>
          <w:szCs w:val="28"/>
        </w:rPr>
        <w:t>174,988,283</w:t>
      </w:r>
      <w:r w:rsidRPr="00CF2A19">
        <w:rPr>
          <w:rFonts w:ascii="Times New Roman" w:hAnsi="Times New Roman" w:hint="eastAsia"/>
          <w:sz w:val="24"/>
          <w:szCs w:val="28"/>
        </w:rPr>
        <w:t>股已于</w:t>
      </w:r>
      <w:r w:rsidRPr="00CF2A19">
        <w:rPr>
          <w:rFonts w:ascii="Times New Roman" w:hAnsi="Times New Roman" w:hint="eastAsia"/>
          <w:sz w:val="24"/>
          <w:szCs w:val="28"/>
        </w:rPr>
        <w:t>2021</w:t>
      </w:r>
      <w:r w:rsidRPr="00CF2A19">
        <w:rPr>
          <w:rFonts w:ascii="Times New Roman" w:hAnsi="Times New Roman" w:hint="eastAsia"/>
          <w:sz w:val="24"/>
          <w:szCs w:val="28"/>
        </w:rPr>
        <w:t>年</w:t>
      </w:r>
      <w:r w:rsidRPr="00CF2A19">
        <w:rPr>
          <w:rFonts w:ascii="Times New Roman" w:hAnsi="Times New Roman" w:hint="eastAsia"/>
          <w:sz w:val="24"/>
          <w:szCs w:val="28"/>
        </w:rPr>
        <w:t>7</w:t>
      </w:r>
      <w:r w:rsidRPr="00CF2A19">
        <w:rPr>
          <w:rFonts w:ascii="Times New Roman" w:hAnsi="Times New Roman" w:hint="eastAsia"/>
          <w:sz w:val="24"/>
          <w:szCs w:val="28"/>
        </w:rPr>
        <w:t>月</w:t>
      </w:r>
      <w:r w:rsidRPr="00CF2A19">
        <w:rPr>
          <w:rFonts w:ascii="Times New Roman" w:hAnsi="Times New Roman" w:hint="eastAsia"/>
          <w:sz w:val="24"/>
          <w:szCs w:val="28"/>
        </w:rPr>
        <w:t>15</w:t>
      </w:r>
      <w:r w:rsidRPr="00CF2A19">
        <w:rPr>
          <w:rFonts w:ascii="Times New Roman" w:hAnsi="Times New Roman" w:hint="eastAsia"/>
          <w:sz w:val="24"/>
          <w:szCs w:val="28"/>
        </w:rPr>
        <w:t>日上市流通。</w:t>
      </w:r>
    </w:p>
    <w:p w14:paraId="0F1BC4AD"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本次上市流通的限售股为公司首次公开发行限售股，限售期自</w:t>
      </w:r>
      <w:r w:rsidRPr="00CF2A19">
        <w:rPr>
          <w:rFonts w:ascii="Times New Roman" w:hAnsi="Times New Roman" w:hint="eastAsia"/>
          <w:sz w:val="24"/>
          <w:szCs w:val="28"/>
        </w:rPr>
        <w:t>2018</w:t>
      </w:r>
      <w:r w:rsidRPr="00CF2A19">
        <w:rPr>
          <w:rFonts w:ascii="Times New Roman" w:hAnsi="Times New Roman" w:hint="eastAsia"/>
          <w:sz w:val="24"/>
          <w:szCs w:val="28"/>
        </w:rPr>
        <w:t>年</w:t>
      </w:r>
      <w:r w:rsidRPr="00CF2A19">
        <w:rPr>
          <w:rFonts w:ascii="Times New Roman" w:hAnsi="Times New Roman" w:hint="eastAsia"/>
          <w:sz w:val="24"/>
          <w:szCs w:val="28"/>
        </w:rPr>
        <w:t>12</w:t>
      </w:r>
      <w:r w:rsidRPr="00CF2A19">
        <w:rPr>
          <w:rFonts w:ascii="Times New Roman" w:hAnsi="Times New Roman" w:hint="eastAsia"/>
          <w:sz w:val="24"/>
          <w:szCs w:val="28"/>
        </w:rPr>
        <w:t>月</w:t>
      </w:r>
      <w:r w:rsidRPr="00CF2A19">
        <w:rPr>
          <w:rFonts w:ascii="Times New Roman" w:hAnsi="Times New Roman" w:hint="eastAsia"/>
          <w:sz w:val="24"/>
          <w:szCs w:val="28"/>
        </w:rPr>
        <w:t>28</w:t>
      </w:r>
      <w:r w:rsidRPr="00CF2A19">
        <w:rPr>
          <w:rFonts w:ascii="Times New Roman" w:hAnsi="Times New Roman" w:hint="eastAsia"/>
          <w:sz w:val="24"/>
          <w:szCs w:val="28"/>
        </w:rPr>
        <w:t>日（即自公司完成相关增资扩股工商变更登记手续之日）起</w:t>
      </w:r>
      <w:r w:rsidRPr="00CF2A19">
        <w:rPr>
          <w:rFonts w:ascii="Times New Roman" w:hAnsi="Times New Roman" w:hint="eastAsia"/>
          <w:sz w:val="24"/>
          <w:szCs w:val="28"/>
        </w:rPr>
        <w:t>36</w:t>
      </w:r>
      <w:r w:rsidRPr="00CF2A19">
        <w:rPr>
          <w:rFonts w:ascii="Times New Roman" w:hAnsi="Times New Roman" w:hint="eastAsia"/>
          <w:sz w:val="24"/>
          <w:szCs w:val="28"/>
        </w:rPr>
        <w:t>个月，共涉及限售股股东</w:t>
      </w:r>
      <w:r w:rsidRPr="00CF2A19">
        <w:rPr>
          <w:rFonts w:ascii="Times New Roman" w:hAnsi="Times New Roman" w:hint="eastAsia"/>
          <w:sz w:val="24"/>
          <w:szCs w:val="28"/>
        </w:rPr>
        <w:t>2</w:t>
      </w:r>
      <w:r w:rsidRPr="00CF2A19">
        <w:rPr>
          <w:rFonts w:ascii="Times New Roman" w:hAnsi="Times New Roman" w:hint="eastAsia"/>
          <w:sz w:val="24"/>
          <w:szCs w:val="28"/>
        </w:rPr>
        <w:t>名，对应股票数量为</w:t>
      </w:r>
      <w:r w:rsidRPr="00CF2A19">
        <w:rPr>
          <w:rFonts w:ascii="Times New Roman" w:hAnsi="Times New Roman" w:hint="eastAsia"/>
          <w:sz w:val="24"/>
          <w:szCs w:val="28"/>
        </w:rPr>
        <w:t>19,059,829</w:t>
      </w:r>
      <w:r w:rsidRPr="00CF2A19">
        <w:rPr>
          <w:rFonts w:ascii="Times New Roman" w:hAnsi="Times New Roman" w:hint="eastAsia"/>
          <w:sz w:val="24"/>
          <w:szCs w:val="28"/>
        </w:rPr>
        <w:t>股，占公司总股本</w:t>
      </w:r>
      <w:r w:rsidRPr="00CF2A19">
        <w:rPr>
          <w:rFonts w:ascii="Times New Roman" w:hAnsi="Times New Roman" w:hint="eastAsia"/>
          <w:sz w:val="24"/>
          <w:szCs w:val="28"/>
        </w:rPr>
        <w:t>3.65%</w:t>
      </w:r>
      <w:r w:rsidRPr="00CF2A19">
        <w:rPr>
          <w:rFonts w:ascii="Times New Roman" w:hAnsi="Times New Roman" w:hint="eastAsia"/>
          <w:sz w:val="24"/>
          <w:szCs w:val="28"/>
        </w:rPr>
        <w:t>，将于</w:t>
      </w:r>
      <w:r w:rsidRPr="00CF2A19">
        <w:rPr>
          <w:rFonts w:ascii="Times New Roman" w:hAnsi="Times New Roman" w:hint="eastAsia"/>
          <w:sz w:val="24"/>
          <w:szCs w:val="28"/>
        </w:rPr>
        <w:t>2021</w:t>
      </w:r>
      <w:r w:rsidRPr="00CF2A19">
        <w:rPr>
          <w:rFonts w:ascii="Times New Roman" w:hAnsi="Times New Roman" w:hint="eastAsia"/>
          <w:sz w:val="24"/>
          <w:szCs w:val="28"/>
        </w:rPr>
        <w:t>年</w:t>
      </w:r>
      <w:r w:rsidRPr="00CF2A19">
        <w:rPr>
          <w:rFonts w:ascii="Times New Roman" w:hAnsi="Times New Roman" w:hint="eastAsia"/>
          <w:sz w:val="24"/>
          <w:szCs w:val="28"/>
        </w:rPr>
        <w:t>12</w:t>
      </w:r>
      <w:r w:rsidRPr="00CF2A19">
        <w:rPr>
          <w:rFonts w:ascii="Times New Roman" w:hAnsi="Times New Roman" w:hint="eastAsia"/>
          <w:sz w:val="24"/>
          <w:szCs w:val="28"/>
        </w:rPr>
        <w:t>月</w:t>
      </w:r>
      <w:r w:rsidRPr="00CF2A19">
        <w:rPr>
          <w:rFonts w:ascii="Times New Roman" w:hAnsi="Times New Roman" w:hint="eastAsia"/>
          <w:sz w:val="24"/>
          <w:szCs w:val="28"/>
        </w:rPr>
        <w:t>28</w:t>
      </w:r>
      <w:r w:rsidRPr="00CF2A19">
        <w:rPr>
          <w:rFonts w:ascii="Times New Roman" w:hAnsi="Times New Roman" w:hint="eastAsia"/>
          <w:sz w:val="24"/>
          <w:szCs w:val="28"/>
        </w:rPr>
        <w:t>日起上市流通。</w:t>
      </w:r>
    </w:p>
    <w:p w14:paraId="3754D500" w14:textId="77777777" w:rsidR="00CF2A19" w:rsidRPr="00CF2A19" w:rsidRDefault="00CF2A19" w:rsidP="00CF2A19">
      <w:pPr>
        <w:spacing w:beforeLines="50" w:before="156" w:afterLines="50" w:after="156" w:line="360" w:lineRule="auto"/>
        <w:ind w:firstLineChars="200" w:firstLine="482"/>
        <w:outlineLvl w:val="0"/>
        <w:rPr>
          <w:rFonts w:ascii="Times New Roman" w:hAnsi="Times New Roman"/>
          <w:b/>
          <w:bCs/>
          <w:sz w:val="24"/>
          <w:szCs w:val="32"/>
        </w:rPr>
      </w:pPr>
      <w:r w:rsidRPr="00CF2A19">
        <w:rPr>
          <w:rFonts w:ascii="Times New Roman" w:hAnsi="Times New Roman"/>
          <w:b/>
          <w:bCs/>
          <w:sz w:val="24"/>
          <w:szCs w:val="32"/>
        </w:rPr>
        <w:t>二、</w:t>
      </w:r>
      <w:r w:rsidRPr="00CF2A19">
        <w:rPr>
          <w:rFonts w:ascii="Times New Roman" w:hAnsi="Times New Roman" w:hint="eastAsia"/>
          <w:b/>
          <w:bCs/>
          <w:sz w:val="24"/>
          <w:szCs w:val="32"/>
        </w:rPr>
        <w:t>本次上市流通的限售股形成后至今公司股本数量变化情况</w:t>
      </w:r>
    </w:p>
    <w:p w14:paraId="4C7C24A9"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本次上市流通的限售股为公司首次公开发行限售股。自公司首次公开发行股票限售股形成至今，公司未发生因利润分配、公积金转增导致股本数量变化的情况。</w:t>
      </w:r>
    </w:p>
    <w:p w14:paraId="5197420F" w14:textId="77777777" w:rsidR="00CF2A19" w:rsidRPr="00CF2A19" w:rsidRDefault="00CF2A19" w:rsidP="00CF2A19">
      <w:pPr>
        <w:spacing w:beforeLines="50" w:before="156" w:afterLines="50" w:after="156" w:line="360" w:lineRule="auto"/>
        <w:ind w:firstLineChars="200" w:firstLine="482"/>
        <w:outlineLvl w:val="0"/>
        <w:rPr>
          <w:rFonts w:ascii="Times New Roman" w:hAnsi="Times New Roman"/>
          <w:b/>
          <w:bCs/>
          <w:sz w:val="24"/>
          <w:szCs w:val="32"/>
        </w:rPr>
      </w:pPr>
      <w:r w:rsidRPr="00CF2A19">
        <w:rPr>
          <w:rFonts w:ascii="Times New Roman" w:hAnsi="Times New Roman" w:hint="eastAsia"/>
          <w:b/>
          <w:bCs/>
          <w:sz w:val="24"/>
          <w:szCs w:val="32"/>
        </w:rPr>
        <w:t>三、本次上市流通的限售股的有关承诺</w:t>
      </w:r>
    </w:p>
    <w:p w14:paraId="32CE0B0C"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本次上市流通的限售股为公司首次公开发行限售股。根据《埃夫特首次公开发行</w:t>
      </w:r>
      <w:r w:rsidRPr="00CF2A19">
        <w:rPr>
          <w:rFonts w:ascii="Times New Roman" w:hAnsi="Times New Roman" w:hint="eastAsia"/>
          <w:sz w:val="24"/>
          <w:szCs w:val="28"/>
        </w:rPr>
        <w:lastRenderedPageBreak/>
        <w:t>股票并在科创板上市招股说明书》及《埃夫特首次公开发行股票科创板上市公告书》，本次申请解除股份限售的股东对其所持有的股份承诺如下：</w:t>
      </w:r>
    </w:p>
    <w:p w14:paraId="258A9DC8" w14:textId="77777777" w:rsidR="00CF2A19" w:rsidRPr="00CF2A19" w:rsidRDefault="00CF2A19" w:rsidP="00CF2A19">
      <w:pPr>
        <w:spacing w:beforeLines="50" w:before="156" w:line="360" w:lineRule="auto"/>
        <w:ind w:firstLineChars="200" w:firstLine="482"/>
        <w:outlineLvl w:val="1"/>
        <w:rPr>
          <w:rFonts w:ascii="Times New Roman" w:hAnsi="Times New Roman"/>
          <w:b/>
          <w:sz w:val="24"/>
          <w:szCs w:val="28"/>
        </w:rPr>
      </w:pPr>
      <w:r w:rsidRPr="00CF2A19">
        <w:rPr>
          <w:rFonts w:ascii="Times New Roman" w:hAnsi="Times New Roman" w:hint="eastAsia"/>
          <w:b/>
          <w:sz w:val="24"/>
          <w:szCs w:val="28"/>
        </w:rPr>
        <w:t>（一）股份锁定承诺</w:t>
      </w:r>
    </w:p>
    <w:p w14:paraId="51D3D400" w14:textId="77777777" w:rsidR="00CF2A19" w:rsidRPr="00CF2A19" w:rsidRDefault="00CF2A19" w:rsidP="00CF2A19">
      <w:pPr>
        <w:spacing w:beforeLines="50" w:before="156" w:line="360" w:lineRule="auto"/>
        <w:ind w:firstLineChars="200" w:firstLine="482"/>
        <w:rPr>
          <w:rFonts w:ascii="Times New Roman" w:hAnsi="Times New Roman"/>
          <w:sz w:val="24"/>
          <w:szCs w:val="28"/>
        </w:rPr>
      </w:pPr>
      <w:r w:rsidRPr="00CF2A19">
        <w:rPr>
          <w:rFonts w:ascii="Times New Roman" w:hAnsi="Times New Roman" w:hint="eastAsia"/>
          <w:b/>
          <w:sz w:val="24"/>
          <w:szCs w:val="28"/>
        </w:rPr>
        <w:t>1</w:t>
      </w:r>
      <w:r w:rsidRPr="00CF2A19">
        <w:rPr>
          <w:rFonts w:ascii="Times New Roman" w:hAnsi="Times New Roman" w:hint="eastAsia"/>
          <w:b/>
          <w:sz w:val="24"/>
          <w:szCs w:val="28"/>
        </w:rPr>
        <w:t>、公司股东上海</w:t>
      </w:r>
      <w:proofErr w:type="gramStart"/>
      <w:r w:rsidRPr="00CF2A19">
        <w:rPr>
          <w:rFonts w:ascii="Times New Roman" w:hAnsi="Times New Roman" w:hint="eastAsia"/>
          <w:b/>
          <w:sz w:val="24"/>
          <w:szCs w:val="28"/>
        </w:rPr>
        <w:t>鼎晖源霖</w:t>
      </w:r>
      <w:proofErr w:type="gramEnd"/>
      <w:r w:rsidRPr="00CF2A19">
        <w:rPr>
          <w:rFonts w:ascii="Times New Roman" w:hAnsi="Times New Roman" w:hint="eastAsia"/>
          <w:b/>
          <w:sz w:val="24"/>
          <w:szCs w:val="28"/>
        </w:rPr>
        <w:t>股权投资合伙企业（有限合伙）通过参与发行人两次增资，分别取得</w:t>
      </w:r>
      <w:r w:rsidRPr="00CF2A19">
        <w:rPr>
          <w:rFonts w:ascii="Times New Roman" w:hAnsi="Times New Roman" w:hint="eastAsia"/>
          <w:b/>
          <w:sz w:val="24"/>
          <w:szCs w:val="28"/>
        </w:rPr>
        <w:t>4,933.3333</w:t>
      </w:r>
      <w:r w:rsidRPr="00CF2A19">
        <w:rPr>
          <w:rFonts w:ascii="Times New Roman" w:hAnsi="Times New Roman" w:hint="eastAsia"/>
          <w:b/>
          <w:sz w:val="24"/>
          <w:szCs w:val="28"/>
        </w:rPr>
        <w:t>万股及</w:t>
      </w:r>
      <w:r w:rsidRPr="00CF2A19">
        <w:rPr>
          <w:rFonts w:ascii="Times New Roman" w:hAnsi="Times New Roman" w:hint="eastAsia"/>
          <w:b/>
          <w:sz w:val="24"/>
          <w:szCs w:val="28"/>
        </w:rPr>
        <w:t>111.1111</w:t>
      </w:r>
      <w:r w:rsidRPr="00CF2A19">
        <w:rPr>
          <w:rFonts w:ascii="Times New Roman" w:hAnsi="Times New Roman" w:hint="eastAsia"/>
          <w:b/>
          <w:sz w:val="24"/>
          <w:szCs w:val="28"/>
        </w:rPr>
        <w:t>万股股份，对于上述持股的相关承诺如下：</w:t>
      </w:r>
    </w:p>
    <w:p w14:paraId="4678F5BE"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w:t>
      </w:r>
      <w:r w:rsidRPr="00CF2A19">
        <w:rPr>
          <w:rFonts w:ascii="Times New Roman" w:hAnsi="Times New Roman" w:hint="eastAsia"/>
          <w:sz w:val="24"/>
          <w:szCs w:val="28"/>
        </w:rPr>
        <w:t>1</w:t>
      </w:r>
      <w:r w:rsidRPr="00CF2A19">
        <w:rPr>
          <w:rFonts w:ascii="Times New Roman" w:hAnsi="Times New Roman" w:hint="eastAsia"/>
          <w:sz w:val="24"/>
          <w:szCs w:val="28"/>
        </w:rPr>
        <w:t>、自发行人股票上市之日起</w:t>
      </w:r>
      <w:r w:rsidRPr="00CF2A19">
        <w:rPr>
          <w:rFonts w:ascii="Times New Roman" w:hAnsi="Times New Roman" w:hint="eastAsia"/>
          <w:sz w:val="24"/>
          <w:szCs w:val="28"/>
        </w:rPr>
        <w:t>12</w:t>
      </w:r>
      <w:r w:rsidRPr="00CF2A19">
        <w:rPr>
          <w:rFonts w:ascii="Times New Roman" w:hAnsi="Times New Roman" w:hint="eastAsia"/>
          <w:sz w:val="24"/>
          <w:szCs w:val="28"/>
        </w:rPr>
        <w:t>个月之内，不转让或者委托他人管理本企业通过认购发行人第一次增资取得的</w:t>
      </w:r>
      <w:r w:rsidRPr="00CF2A19">
        <w:rPr>
          <w:rFonts w:ascii="Times New Roman" w:hAnsi="Times New Roman" w:hint="eastAsia"/>
          <w:sz w:val="24"/>
          <w:szCs w:val="28"/>
        </w:rPr>
        <w:t>4,933.3333</w:t>
      </w:r>
      <w:r w:rsidRPr="00CF2A19">
        <w:rPr>
          <w:rFonts w:ascii="Times New Roman" w:hAnsi="Times New Roman" w:hint="eastAsia"/>
          <w:sz w:val="24"/>
          <w:szCs w:val="28"/>
        </w:rPr>
        <w:t>万股股份，也不由发行人回购该部分股份。自发行人就第二次增资完成增资扩股工商变更登记手续之日（即</w:t>
      </w:r>
      <w:r w:rsidRPr="00CF2A19">
        <w:rPr>
          <w:rFonts w:ascii="Times New Roman" w:hAnsi="Times New Roman" w:hint="eastAsia"/>
          <w:sz w:val="24"/>
          <w:szCs w:val="28"/>
        </w:rPr>
        <w:t>2018</w:t>
      </w:r>
      <w:r w:rsidRPr="00CF2A19">
        <w:rPr>
          <w:rFonts w:ascii="Times New Roman" w:hAnsi="Times New Roman" w:hint="eastAsia"/>
          <w:sz w:val="24"/>
          <w:szCs w:val="28"/>
        </w:rPr>
        <w:t>年</w:t>
      </w:r>
      <w:r w:rsidRPr="00CF2A19">
        <w:rPr>
          <w:rFonts w:ascii="Times New Roman" w:hAnsi="Times New Roman" w:hint="eastAsia"/>
          <w:sz w:val="24"/>
          <w:szCs w:val="28"/>
        </w:rPr>
        <w:t>12</w:t>
      </w:r>
      <w:r w:rsidRPr="00CF2A19">
        <w:rPr>
          <w:rFonts w:ascii="Times New Roman" w:hAnsi="Times New Roman" w:hint="eastAsia"/>
          <w:sz w:val="24"/>
          <w:szCs w:val="28"/>
        </w:rPr>
        <w:t>月</w:t>
      </w:r>
      <w:r w:rsidRPr="00CF2A19">
        <w:rPr>
          <w:rFonts w:ascii="Times New Roman" w:hAnsi="Times New Roman" w:hint="eastAsia"/>
          <w:sz w:val="24"/>
          <w:szCs w:val="28"/>
        </w:rPr>
        <w:t>28</w:t>
      </w:r>
      <w:r w:rsidRPr="00CF2A19">
        <w:rPr>
          <w:rFonts w:ascii="Times New Roman" w:hAnsi="Times New Roman" w:hint="eastAsia"/>
          <w:sz w:val="24"/>
          <w:szCs w:val="28"/>
        </w:rPr>
        <w:t>日）起</w:t>
      </w:r>
      <w:r w:rsidRPr="00CF2A19">
        <w:rPr>
          <w:rFonts w:ascii="Times New Roman" w:hAnsi="Times New Roman" w:hint="eastAsia"/>
          <w:sz w:val="24"/>
          <w:szCs w:val="28"/>
        </w:rPr>
        <w:t>36</w:t>
      </w:r>
      <w:r w:rsidRPr="00CF2A19">
        <w:rPr>
          <w:rFonts w:ascii="Times New Roman" w:hAnsi="Times New Roman" w:hint="eastAsia"/>
          <w:sz w:val="24"/>
          <w:szCs w:val="28"/>
        </w:rPr>
        <w:t>个月内，不转让或者委托他人管理本企业通过认购发行人第二次增资取得的</w:t>
      </w:r>
      <w:r w:rsidRPr="00CF2A19">
        <w:rPr>
          <w:rFonts w:ascii="Times New Roman" w:hAnsi="Times New Roman" w:hint="eastAsia"/>
          <w:sz w:val="24"/>
          <w:szCs w:val="28"/>
        </w:rPr>
        <w:t>111.1111</w:t>
      </w:r>
      <w:r w:rsidRPr="00CF2A19">
        <w:rPr>
          <w:rFonts w:ascii="Times New Roman" w:hAnsi="Times New Roman" w:hint="eastAsia"/>
          <w:sz w:val="24"/>
          <w:szCs w:val="28"/>
        </w:rPr>
        <w:t>万股股份，也不由发行人回购该部分股份。</w:t>
      </w:r>
    </w:p>
    <w:p w14:paraId="29784986"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2</w:t>
      </w:r>
      <w:r w:rsidRPr="00CF2A19">
        <w:rPr>
          <w:rFonts w:ascii="Times New Roman" w:hAnsi="Times New Roman" w:hint="eastAsia"/>
          <w:sz w:val="24"/>
          <w:szCs w:val="28"/>
        </w:rPr>
        <w:t>、如果本企业违反了关于股份锁定期承诺的相关内容，则由此所得的收益归发行人。本企业在接到发行人董事会发出的本企业违反了关于股份锁定期承诺的通知之日起</w:t>
      </w:r>
      <w:r w:rsidRPr="00CF2A19">
        <w:rPr>
          <w:rFonts w:ascii="Times New Roman" w:hAnsi="Times New Roman" w:hint="eastAsia"/>
          <w:sz w:val="24"/>
          <w:szCs w:val="28"/>
        </w:rPr>
        <w:t>20</w:t>
      </w:r>
      <w:r w:rsidRPr="00CF2A19">
        <w:rPr>
          <w:rFonts w:ascii="Times New Roman" w:hAnsi="Times New Roman" w:hint="eastAsia"/>
          <w:sz w:val="24"/>
          <w:szCs w:val="28"/>
        </w:rPr>
        <w:t>日内将有关收益交给发行人。”</w:t>
      </w:r>
    </w:p>
    <w:p w14:paraId="06A968CF" w14:textId="77777777" w:rsidR="00CF2A19" w:rsidRPr="00CF2A19" w:rsidRDefault="00CF2A19" w:rsidP="00293CC6">
      <w:pPr>
        <w:spacing w:beforeLines="50" w:before="156" w:line="360" w:lineRule="auto"/>
        <w:ind w:firstLineChars="200" w:firstLine="482"/>
        <w:rPr>
          <w:rFonts w:ascii="Times New Roman" w:hAnsi="Times New Roman"/>
          <w:b/>
          <w:sz w:val="24"/>
          <w:szCs w:val="28"/>
        </w:rPr>
      </w:pPr>
      <w:r w:rsidRPr="00CF2A19">
        <w:rPr>
          <w:rFonts w:ascii="Times New Roman" w:hAnsi="Times New Roman" w:hint="eastAsia"/>
          <w:b/>
          <w:sz w:val="24"/>
          <w:szCs w:val="28"/>
        </w:rPr>
        <w:t>2</w:t>
      </w:r>
      <w:r w:rsidRPr="00CF2A19">
        <w:rPr>
          <w:rFonts w:ascii="Times New Roman" w:hAnsi="Times New Roman" w:hint="eastAsia"/>
          <w:b/>
          <w:sz w:val="24"/>
          <w:szCs w:val="28"/>
        </w:rPr>
        <w:t>公司股东马鞍山基石智能制造产业基金合伙企业（有限合伙）承诺如下：</w:t>
      </w:r>
    </w:p>
    <w:p w14:paraId="2C26797C"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w:t>
      </w:r>
      <w:r w:rsidRPr="00CF2A19">
        <w:rPr>
          <w:rFonts w:ascii="Times New Roman" w:hAnsi="Times New Roman" w:hint="eastAsia"/>
          <w:sz w:val="24"/>
          <w:szCs w:val="28"/>
        </w:rPr>
        <w:t>1</w:t>
      </w:r>
      <w:r w:rsidRPr="00CF2A19">
        <w:rPr>
          <w:rFonts w:ascii="Times New Roman" w:hAnsi="Times New Roman" w:hint="eastAsia"/>
          <w:sz w:val="24"/>
          <w:szCs w:val="28"/>
        </w:rPr>
        <w:t>、自发行人就本次增资完成工商变更登记手续之日（即</w:t>
      </w:r>
      <w:r w:rsidRPr="00CF2A19">
        <w:rPr>
          <w:rFonts w:ascii="Times New Roman" w:hAnsi="Times New Roman" w:hint="eastAsia"/>
          <w:sz w:val="24"/>
          <w:szCs w:val="28"/>
        </w:rPr>
        <w:t>2018</w:t>
      </w:r>
      <w:r w:rsidRPr="00CF2A19">
        <w:rPr>
          <w:rFonts w:ascii="Times New Roman" w:hAnsi="Times New Roman" w:hint="eastAsia"/>
          <w:sz w:val="24"/>
          <w:szCs w:val="28"/>
        </w:rPr>
        <w:t>年</w:t>
      </w:r>
      <w:r w:rsidRPr="00CF2A19">
        <w:rPr>
          <w:rFonts w:ascii="Times New Roman" w:hAnsi="Times New Roman" w:hint="eastAsia"/>
          <w:sz w:val="24"/>
          <w:szCs w:val="28"/>
        </w:rPr>
        <w:t>12</w:t>
      </w:r>
      <w:r w:rsidRPr="00CF2A19">
        <w:rPr>
          <w:rFonts w:ascii="Times New Roman" w:hAnsi="Times New Roman" w:hint="eastAsia"/>
          <w:sz w:val="24"/>
          <w:szCs w:val="28"/>
        </w:rPr>
        <w:t>月</w:t>
      </w:r>
      <w:r w:rsidRPr="00CF2A19">
        <w:rPr>
          <w:rFonts w:ascii="Times New Roman" w:hAnsi="Times New Roman" w:hint="eastAsia"/>
          <w:sz w:val="24"/>
          <w:szCs w:val="28"/>
        </w:rPr>
        <w:t>28</w:t>
      </w:r>
      <w:r w:rsidRPr="00CF2A19">
        <w:rPr>
          <w:rFonts w:ascii="Times New Roman" w:hAnsi="Times New Roman" w:hint="eastAsia"/>
          <w:sz w:val="24"/>
          <w:szCs w:val="28"/>
        </w:rPr>
        <w:t>日）起</w:t>
      </w:r>
      <w:r w:rsidRPr="00CF2A19">
        <w:rPr>
          <w:rFonts w:ascii="Times New Roman" w:hAnsi="Times New Roman" w:hint="eastAsia"/>
          <w:sz w:val="24"/>
          <w:szCs w:val="28"/>
        </w:rPr>
        <w:t>36</w:t>
      </w:r>
      <w:r w:rsidRPr="00CF2A19">
        <w:rPr>
          <w:rFonts w:ascii="Times New Roman" w:hAnsi="Times New Roman" w:hint="eastAsia"/>
          <w:sz w:val="24"/>
          <w:szCs w:val="28"/>
        </w:rPr>
        <w:t>个月内，不转让或者委托他人管理本企业直接和间接持有的发行人首次公开发行</w:t>
      </w:r>
      <w:r w:rsidRPr="00CF2A19">
        <w:rPr>
          <w:rFonts w:ascii="Times New Roman" w:hAnsi="Times New Roman" w:hint="eastAsia"/>
          <w:sz w:val="24"/>
          <w:szCs w:val="28"/>
        </w:rPr>
        <w:t>A</w:t>
      </w:r>
      <w:r w:rsidRPr="00CF2A19">
        <w:rPr>
          <w:rFonts w:ascii="Times New Roman" w:hAnsi="Times New Roman" w:hint="eastAsia"/>
          <w:sz w:val="24"/>
          <w:szCs w:val="28"/>
        </w:rPr>
        <w:t>股股票前已发行的股份，也不由发行人回购该部分股份。</w:t>
      </w:r>
    </w:p>
    <w:p w14:paraId="5B0F4AEF"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2</w:t>
      </w:r>
      <w:r w:rsidRPr="00CF2A19">
        <w:rPr>
          <w:rFonts w:ascii="Times New Roman" w:hAnsi="Times New Roman" w:hint="eastAsia"/>
          <w:sz w:val="24"/>
          <w:szCs w:val="28"/>
        </w:rPr>
        <w:t>、如果本企业违反了关于股份锁定期承诺的相关内容，则由此所得的收益归发行人。本企业在接到发行人董事会发出的本企业违反了关于股份锁定期承诺的通知之日起</w:t>
      </w:r>
      <w:r w:rsidRPr="00CF2A19">
        <w:rPr>
          <w:rFonts w:ascii="Times New Roman" w:hAnsi="Times New Roman" w:hint="eastAsia"/>
          <w:sz w:val="24"/>
          <w:szCs w:val="28"/>
        </w:rPr>
        <w:t>20</w:t>
      </w:r>
      <w:r w:rsidRPr="00CF2A19">
        <w:rPr>
          <w:rFonts w:ascii="Times New Roman" w:hAnsi="Times New Roman" w:hint="eastAsia"/>
          <w:sz w:val="24"/>
          <w:szCs w:val="28"/>
        </w:rPr>
        <w:t>日内将有关收益交给发行人。”</w:t>
      </w:r>
    </w:p>
    <w:p w14:paraId="74BA9833" w14:textId="77777777" w:rsidR="00CF2A19" w:rsidRPr="00CF2A19" w:rsidRDefault="00CF2A19" w:rsidP="00CF2A19">
      <w:pPr>
        <w:spacing w:beforeLines="50" w:before="156" w:line="360" w:lineRule="auto"/>
        <w:ind w:firstLineChars="200" w:firstLine="482"/>
        <w:outlineLvl w:val="1"/>
        <w:rPr>
          <w:rFonts w:ascii="Times New Roman" w:hAnsi="Times New Roman"/>
          <w:b/>
          <w:sz w:val="24"/>
          <w:szCs w:val="28"/>
        </w:rPr>
      </w:pPr>
      <w:r w:rsidRPr="00CF2A19">
        <w:rPr>
          <w:rFonts w:ascii="Times New Roman" w:hAnsi="Times New Roman" w:hint="eastAsia"/>
          <w:b/>
          <w:sz w:val="24"/>
          <w:szCs w:val="28"/>
        </w:rPr>
        <w:t>（二）持股及减持意向的承诺</w:t>
      </w:r>
    </w:p>
    <w:p w14:paraId="356DD384" w14:textId="77777777" w:rsidR="00CF2A19" w:rsidRPr="00CF2A19" w:rsidRDefault="00CF2A19" w:rsidP="00293CC6">
      <w:pPr>
        <w:spacing w:beforeLines="50" w:before="156" w:line="360" w:lineRule="auto"/>
        <w:ind w:firstLineChars="200" w:firstLine="482"/>
        <w:rPr>
          <w:rFonts w:ascii="Times New Roman" w:hAnsi="Times New Roman"/>
          <w:b/>
          <w:sz w:val="24"/>
          <w:szCs w:val="28"/>
        </w:rPr>
      </w:pPr>
      <w:r w:rsidRPr="00CF2A19">
        <w:rPr>
          <w:rFonts w:ascii="Times New Roman" w:hAnsi="Times New Roman" w:hint="eastAsia"/>
          <w:b/>
          <w:sz w:val="24"/>
          <w:szCs w:val="28"/>
        </w:rPr>
        <w:t>公司股东上海</w:t>
      </w:r>
      <w:proofErr w:type="gramStart"/>
      <w:r w:rsidRPr="00CF2A19">
        <w:rPr>
          <w:rFonts w:ascii="Times New Roman" w:hAnsi="Times New Roman" w:hint="eastAsia"/>
          <w:b/>
          <w:sz w:val="24"/>
          <w:szCs w:val="28"/>
        </w:rPr>
        <w:t>鼎晖源霖</w:t>
      </w:r>
      <w:proofErr w:type="gramEnd"/>
      <w:r w:rsidRPr="00CF2A19">
        <w:rPr>
          <w:rFonts w:ascii="Times New Roman" w:hAnsi="Times New Roman" w:hint="eastAsia"/>
          <w:b/>
          <w:sz w:val="24"/>
          <w:szCs w:val="28"/>
        </w:rPr>
        <w:t>股权投资合伙企业</w:t>
      </w:r>
      <w:r w:rsidRPr="00CF2A19">
        <w:rPr>
          <w:rFonts w:ascii="Times New Roman" w:hAnsi="Times New Roman" w:hint="eastAsia"/>
          <w:b/>
          <w:sz w:val="24"/>
          <w:szCs w:val="28"/>
        </w:rPr>
        <w:t>(</w:t>
      </w:r>
      <w:r w:rsidRPr="00CF2A19">
        <w:rPr>
          <w:rFonts w:ascii="Times New Roman" w:hAnsi="Times New Roman" w:hint="eastAsia"/>
          <w:b/>
          <w:sz w:val="24"/>
          <w:szCs w:val="28"/>
        </w:rPr>
        <w:t>有限合伙</w:t>
      </w:r>
      <w:r w:rsidRPr="00CF2A19">
        <w:rPr>
          <w:rFonts w:ascii="Times New Roman" w:hAnsi="Times New Roman" w:hint="eastAsia"/>
          <w:b/>
          <w:sz w:val="24"/>
          <w:szCs w:val="28"/>
        </w:rPr>
        <w:t xml:space="preserve">) </w:t>
      </w:r>
      <w:r w:rsidRPr="00CF2A19">
        <w:rPr>
          <w:rFonts w:ascii="Times New Roman" w:hAnsi="Times New Roman" w:hint="eastAsia"/>
          <w:b/>
          <w:sz w:val="24"/>
          <w:szCs w:val="28"/>
        </w:rPr>
        <w:t>、马鞍山基石智能制造产业基金合伙企业（有限合伙）承诺如下：</w:t>
      </w:r>
    </w:p>
    <w:p w14:paraId="51583383"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w:t>
      </w:r>
      <w:r w:rsidRPr="00CF2A19">
        <w:rPr>
          <w:rFonts w:ascii="Times New Roman" w:hAnsi="Times New Roman" w:hint="eastAsia"/>
          <w:sz w:val="24"/>
          <w:szCs w:val="28"/>
        </w:rPr>
        <w:t>1</w:t>
      </w:r>
      <w:r w:rsidRPr="00CF2A19">
        <w:rPr>
          <w:rFonts w:ascii="Times New Roman" w:hAnsi="Times New Roman" w:hint="eastAsia"/>
          <w:sz w:val="24"/>
          <w:szCs w:val="28"/>
        </w:rPr>
        <w:t>、本公司将严格根据证券监管机构、自律机构及证券交易所等有权部门颁布的相关法律法规及规范性文件的有关规定，以及本公司就持股锁定事项出具的相关承诺执行有关股份限售事项；在证券监管机构、自律机构及证券交易所等有权部门颁布的</w:t>
      </w:r>
      <w:r w:rsidRPr="00CF2A19">
        <w:rPr>
          <w:rFonts w:ascii="Times New Roman" w:hAnsi="Times New Roman" w:hint="eastAsia"/>
          <w:sz w:val="24"/>
          <w:szCs w:val="28"/>
        </w:rPr>
        <w:lastRenderedPageBreak/>
        <w:t>相关法律法规及规范性文件的有关规定，以及本公司股份锁定承诺规定的限售期内，本公司不会进行任何违反相关规定及股份锁定承诺的股份减持行为。</w:t>
      </w:r>
    </w:p>
    <w:p w14:paraId="3FBD0A26"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2</w:t>
      </w:r>
      <w:r w:rsidRPr="00CF2A19">
        <w:rPr>
          <w:rFonts w:ascii="Times New Roman" w:hAnsi="Times New Roman" w:hint="eastAsia"/>
          <w:sz w:val="24"/>
          <w:szCs w:val="28"/>
        </w:rPr>
        <w:t>、股份锁定期满后，本公司届时将综合考虑资金需求、投资安排等各方面因素确定是否减持发行人股份。</w:t>
      </w:r>
    </w:p>
    <w:p w14:paraId="523B1A50"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如本公司确定依法减持发行人股份的，将严格按照证券监管机构、证券交易所等有权部门颁布的届时有效的减持规则进行减持，并履行相应的信息披露义务。</w:t>
      </w:r>
    </w:p>
    <w:p w14:paraId="406D45FB"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3</w:t>
      </w:r>
      <w:r w:rsidRPr="00CF2A19">
        <w:rPr>
          <w:rFonts w:ascii="Times New Roman" w:hAnsi="Times New Roman" w:hint="eastAsia"/>
          <w:sz w:val="24"/>
          <w:szCs w:val="28"/>
        </w:rPr>
        <w:t>、本公司将在公告的减持期限内以证券监管机构、自律机构及证券交易所等有权部门允许的如大宗交易、集合竞价等合</w:t>
      </w:r>
      <w:proofErr w:type="gramStart"/>
      <w:r w:rsidRPr="00CF2A19">
        <w:rPr>
          <w:rFonts w:ascii="Times New Roman" w:hAnsi="Times New Roman" w:hint="eastAsia"/>
          <w:sz w:val="24"/>
          <w:szCs w:val="28"/>
        </w:rPr>
        <w:t>规</w:t>
      </w:r>
      <w:proofErr w:type="gramEnd"/>
      <w:r w:rsidRPr="00CF2A19">
        <w:rPr>
          <w:rFonts w:ascii="Times New Roman" w:hAnsi="Times New Roman" w:hint="eastAsia"/>
          <w:sz w:val="24"/>
          <w:szCs w:val="28"/>
        </w:rPr>
        <w:t>方式进行减持。如本公司未来依法发生任何增持或减持发行人股份情形的，本公司将严格按照证券监管机构、自律机构及证券交易所等有权部门颁布的相关法律法规及规范性文件的规定进行相应增持或减持操作，并及时履行有关信息披露义务。</w:t>
      </w:r>
    </w:p>
    <w:p w14:paraId="3B227CA2"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4</w:t>
      </w:r>
      <w:r w:rsidRPr="00CF2A19">
        <w:rPr>
          <w:rFonts w:ascii="Times New Roman" w:hAnsi="Times New Roman" w:hint="eastAsia"/>
          <w:sz w:val="24"/>
          <w:szCs w:val="28"/>
        </w:rPr>
        <w:t>、如果本公司违反了有关承诺减持而获得的任何收益将归发行人，本公司在接到发行人董事会发出的本公司违反了关于股份减</w:t>
      </w:r>
      <w:proofErr w:type="gramStart"/>
      <w:r w:rsidRPr="00CF2A19">
        <w:rPr>
          <w:rFonts w:ascii="Times New Roman" w:hAnsi="Times New Roman" w:hint="eastAsia"/>
          <w:sz w:val="24"/>
          <w:szCs w:val="28"/>
        </w:rPr>
        <w:t>持承诺</w:t>
      </w:r>
      <w:proofErr w:type="gramEnd"/>
      <w:r w:rsidRPr="00CF2A19">
        <w:rPr>
          <w:rFonts w:ascii="Times New Roman" w:hAnsi="Times New Roman" w:hint="eastAsia"/>
          <w:sz w:val="24"/>
          <w:szCs w:val="28"/>
        </w:rPr>
        <w:t>的通知之日起</w:t>
      </w:r>
      <w:r w:rsidRPr="00CF2A19">
        <w:rPr>
          <w:rFonts w:ascii="Times New Roman" w:hAnsi="Times New Roman" w:hint="eastAsia"/>
          <w:sz w:val="24"/>
          <w:szCs w:val="28"/>
        </w:rPr>
        <w:t>20</w:t>
      </w:r>
      <w:r w:rsidRPr="00CF2A19">
        <w:rPr>
          <w:rFonts w:ascii="Times New Roman" w:hAnsi="Times New Roman" w:hint="eastAsia"/>
          <w:sz w:val="24"/>
          <w:szCs w:val="28"/>
        </w:rPr>
        <w:t>日内将有关收益交给发行人。”</w:t>
      </w:r>
    </w:p>
    <w:p w14:paraId="35143383" w14:textId="77777777" w:rsidR="00CF2A19" w:rsidRPr="00CF2A19" w:rsidRDefault="00CF2A19" w:rsidP="00CF2A19">
      <w:pPr>
        <w:spacing w:beforeLines="50" w:before="156" w:afterLines="50" w:after="156" w:line="360" w:lineRule="auto"/>
        <w:ind w:firstLineChars="200" w:firstLine="482"/>
        <w:outlineLvl w:val="0"/>
        <w:rPr>
          <w:rFonts w:ascii="Times New Roman" w:hAnsi="Times New Roman"/>
          <w:b/>
          <w:bCs/>
          <w:sz w:val="24"/>
          <w:szCs w:val="32"/>
        </w:rPr>
      </w:pPr>
      <w:r w:rsidRPr="00CF2A19">
        <w:rPr>
          <w:rFonts w:ascii="Times New Roman" w:hAnsi="Times New Roman" w:hint="eastAsia"/>
          <w:b/>
          <w:bCs/>
          <w:sz w:val="24"/>
          <w:szCs w:val="32"/>
        </w:rPr>
        <w:t>四、本次上市流通的限售股基本情况</w:t>
      </w:r>
    </w:p>
    <w:p w14:paraId="6308E834"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1</w:t>
      </w:r>
      <w:r w:rsidRPr="00CF2A19">
        <w:rPr>
          <w:rFonts w:ascii="Times New Roman" w:hAnsi="Times New Roman" w:hint="eastAsia"/>
          <w:sz w:val="24"/>
          <w:szCs w:val="28"/>
        </w:rPr>
        <w:t>、本次限售股的上市流通日为</w:t>
      </w:r>
      <w:r w:rsidRPr="00CF2A19">
        <w:rPr>
          <w:rFonts w:ascii="Times New Roman" w:hAnsi="Times New Roman" w:hint="eastAsia"/>
          <w:sz w:val="24"/>
          <w:szCs w:val="28"/>
        </w:rPr>
        <w:t>2021</w:t>
      </w:r>
      <w:r w:rsidRPr="00CF2A19">
        <w:rPr>
          <w:rFonts w:ascii="Times New Roman" w:hAnsi="Times New Roman" w:hint="eastAsia"/>
          <w:sz w:val="24"/>
          <w:szCs w:val="28"/>
        </w:rPr>
        <w:t>年</w:t>
      </w:r>
      <w:r w:rsidRPr="00CF2A19">
        <w:rPr>
          <w:rFonts w:ascii="Times New Roman" w:hAnsi="Times New Roman" w:hint="eastAsia"/>
          <w:sz w:val="24"/>
          <w:szCs w:val="28"/>
        </w:rPr>
        <w:t>12</w:t>
      </w:r>
      <w:r w:rsidRPr="00CF2A19">
        <w:rPr>
          <w:rFonts w:ascii="Times New Roman" w:hAnsi="Times New Roman" w:hint="eastAsia"/>
          <w:sz w:val="24"/>
          <w:szCs w:val="28"/>
        </w:rPr>
        <w:t>月</w:t>
      </w:r>
      <w:r w:rsidRPr="00CF2A19">
        <w:rPr>
          <w:rFonts w:ascii="Times New Roman" w:hAnsi="Times New Roman" w:hint="eastAsia"/>
          <w:sz w:val="24"/>
          <w:szCs w:val="28"/>
        </w:rPr>
        <w:t>28</w:t>
      </w:r>
      <w:r w:rsidRPr="00CF2A19">
        <w:rPr>
          <w:rFonts w:ascii="Times New Roman" w:hAnsi="Times New Roman" w:hint="eastAsia"/>
          <w:sz w:val="24"/>
          <w:szCs w:val="28"/>
        </w:rPr>
        <w:t>日。</w:t>
      </w:r>
    </w:p>
    <w:p w14:paraId="67C0F4E5"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2</w:t>
      </w:r>
      <w:r w:rsidRPr="00CF2A19">
        <w:rPr>
          <w:rFonts w:ascii="Times New Roman" w:hAnsi="Times New Roman" w:hint="eastAsia"/>
          <w:sz w:val="24"/>
          <w:szCs w:val="28"/>
        </w:rPr>
        <w:t>、本次解除限售的股份数量为</w:t>
      </w:r>
      <w:r w:rsidRPr="00CF2A19">
        <w:rPr>
          <w:rFonts w:ascii="Times New Roman" w:hAnsi="Times New Roman"/>
          <w:sz w:val="24"/>
          <w:szCs w:val="28"/>
        </w:rPr>
        <w:t>19,059,829</w:t>
      </w:r>
      <w:r w:rsidRPr="00CF2A19">
        <w:rPr>
          <w:rFonts w:ascii="Times New Roman" w:hAnsi="Times New Roman" w:hint="eastAsia"/>
          <w:sz w:val="24"/>
          <w:szCs w:val="28"/>
        </w:rPr>
        <w:t>股，占公司总股本的</w:t>
      </w:r>
      <w:r w:rsidRPr="00CF2A19">
        <w:rPr>
          <w:rFonts w:ascii="Times New Roman" w:hAnsi="Times New Roman" w:hint="eastAsia"/>
          <w:sz w:val="24"/>
          <w:szCs w:val="28"/>
        </w:rPr>
        <w:t>3.65%</w:t>
      </w:r>
      <w:r w:rsidRPr="00CF2A19">
        <w:rPr>
          <w:rFonts w:ascii="Times New Roman" w:hAnsi="Times New Roman" w:hint="eastAsia"/>
          <w:sz w:val="24"/>
          <w:szCs w:val="28"/>
        </w:rPr>
        <w:t>。</w:t>
      </w:r>
    </w:p>
    <w:p w14:paraId="707FE582"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3</w:t>
      </w:r>
      <w:r w:rsidRPr="00CF2A19">
        <w:rPr>
          <w:rFonts w:ascii="Times New Roman" w:hAnsi="Times New Roman" w:hint="eastAsia"/>
          <w:sz w:val="24"/>
          <w:szCs w:val="28"/>
        </w:rPr>
        <w:t>、本次限售股上市流通的具体情况如下：</w:t>
      </w:r>
    </w:p>
    <w:p w14:paraId="759490C7" w14:textId="77777777" w:rsidR="00CF2A19" w:rsidRPr="00CF2A19" w:rsidRDefault="00CF2A19" w:rsidP="00CF2A19">
      <w:pPr>
        <w:jc w:val="right"/>
        <w:rPr>
          <w:rFonts w:ascii="Times New Roman" w:hAnsi="Times New Roman"/>
          <w:szCs w:val="28"/>
        </w:rPr>
      </w:pPr>
      <w:r w:rsidRPr="00CF2A19">
        <w:rPr>
          <w:rFonts w:ascii="Times New Roman" w:hAnsi="Times New Roman" w:hint="eastAsia"/>
          <w:szCs w:val="28"/>
        </w:rPr>
        <w:t>单位：股</w:t>
      </w:r>
    </w:p>
    <w:tbl>
      <w:tblPr>
        <w:tblStyle w:val="a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5"/>
        <w:gridCol w:w="1619"/>
        <w:gridCol w:w="1622"/>
        <w:gridCol w:w="1622"/>
        <w:gridCol w:w="1622"/>
        <w:gridCol w:w="1620"/>
      </w:tblGrid>
      <w:tr w:rsidR="00CF2A19" w:rsidRPr="00CF2A19" w14:paraId="424FC705" w14:textId="77777777" w:rsidTr="007D249A">
        <w:trPr>
          <w:trHeight w:val="340"/>
          <w:tblHeader/>
        </w:trPr>
        <w:tc>
          <w:tcPr>
            <w:tcW w:w="447" w:type="pct"/>
            <w:vAlign w:val="center"/>
            <w:hideMark/>
          </w:tcPr>
          <w:p w14:paraId="5F831981"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序号</w:t>
            </w:r>
          </w:p>
        </w:tc>
        <w:tc>
          <w:tcPr>
            <w:tcW w:w="910" w:type="pct"/>
            <w:vAlign w:val="center"/>
            <w:hideMark/>
          </w:tcPr>
          <w:p w14:paraId="43764367"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股东名称</w:t>
            </w:r>
          </w:p>
        </w:tc>
        <w:tc>
          <w:tcPr>
            <w:tcW w:w="911" w:type="pct"/>
            <w:vAlign w:val="center"/>
            <w:hideMark/>
          </w:tcPr>
          <w:p w14:paraId="2B04A295"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持有限售股股数</w:t>
            </w:r>
          </w:p>
        </w:tc>
        <w:tc>
          <w:tcPr>
            <w:tcW w:w="911" w:type="pct"/>
            <w:vAlign w:val="center"/>
            <w:hideMark/>
          </w:tcPr>
          <w:p w14:paraId="6BDDF1A3"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持有限售股占公司总股本比例</w:t>
            </w:r>
          </w:p>
        </w:tc>
        <w:tc>
          <w:tcPr>
            <w:tcW w:w="911" w:type="pct"/>
            <w:vAlign w:val="center"/>
            <w:hideMark/>
          </w:tcPr>
          <w:p w14:paraId="3C8BED4E"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本次上市流通数量</w:t>
            </w:r>
          </w:p>
        </w:tc>
        <w:tc>
          <w:tcPr>
            <w:tcW w:w="910" w:type="pct"/>
            <w:vAlign w:val="center"/>
            <w:hideMark/>
          </w:tcPr>
          <w:p w14:paraId="5F1BA32C" w14:textId="77777777" w:rsidR="00CF2A19" w:rsidRPr="00CF2A19" w:rsidRDefault="00CF2A19" w:rsidP="007D249A">
            <w:pPr>
              <w:widowControl/>
              <w:jc w:val="center"/>
              <w:rPr>
                <w:rFonts w:ascii="Times New Roman" w:hAnsi="Times New Roman"/>
                <w:b/>
                <w:bCs/>
                <w:kern w:val="0"/>
                <w:sz w:val="18"/>
                <w:szCs w:val="18"/>
              </w:rPr>
            </w:pPr>
            <w:r w:rsidRPr="00CF2A19">
              <w:rPr>
                <w:rFonts w:ascii="Times New Roman" w:hAnsi="Times New Roman"/>
                <w:b/>
                <w:bCs/>
                <w:kern w:val="0"/>
                <w:sz w:val="18"/>
                <w:szCs w:val="18"/>
              </w:rPr>
              <w:t>剩余限售股数量</w:t>
            </w:r>
          </w:p>
        </w:tc>
      </w:tr>
      <w:tr w:rsidR="00CF2A19" w:rsidRPr="00CF2A19" w14:paraId="3DBF5BBA" w14:textId="77777777" w:rsidTr="007D249A">
        <w:trPr>
          <w:trHeight w:val="340"/>
        </w:trPr>
        <w:tc>
          <w:tcPr>
            <w:tcW w:w="447" w:type="pct"/>
            <w:vAlign w:val="center"/>
            <w:hideMark/>
          </w:tcPr>
          <w:p w14:paraId="0992E436" w14:textId="77777777" w:rsidR="00CF2A19" w:rsidRPr="00CF2A19" w:rsidRDefault="00CF2A19" w:rsidP="007D249A">
            <w:pPr>
              <w:widowControl/>
              <w:jc w:val="center"/>
              <w:rPr>
                <w:rFonts w:ascii="Times New Roman" w:hAnsi="Times New Roman"/>
                <w:kern w:val="0"/>
                <w:sz w:val="18"/>
                <w:szCs w:val="18"/>
              </w:rPr>
            </w:pPr>
            <w:r w:rsidRPr="00CF2A19">
              <w:rPr>
                <w:rFonts w:ascii="Times New Roman" w:hAnsi="Times New Roman"/>
                <w:kern w:val="0"/>
                <w:sz w:val="18"/>
                <w:szCs w:val="18"/>
              </w:rPr>
              <w:t>1</w:t>
            </w:r>
          </w:p>
        </w:tc>
        <w:tc>
          <w:tcPr>
            <w:tcW w:w="910" w:type="pct"/>
            <w:vAlign w:val="center"/>
          </w:tcPr>
          <w:p w14:paraId="6349937A" w14:textId="77777777" w:rsidR="00CF2A19" w:rsidRPr="00CF2A19" w:rsidRDefault="00CF2A19" w:rsidP="007D249A">
            <w:pPr>
              <w:widowControl/>
              <w:jc w:val="left"/>
              <w:textAlignment w:val="center"/>
              <w:rPr>
                <w:rFonts w:ascii="Times New Roman" w:hAnsi="Times New Roman"/>
                <w:sz w:val="18"/>
                <w:szCs w:val="18"/>
              </w:rPr>
            </w:pPr>
            <w:r w:rsidRPr="00CF2A19">
              <w:rPr>
                <w:rFonts w:ascii="Times New Roman" w:hAnsi="Times New Roman" w:hint="eastAsia"/>
                <w:sz w:val="18"/>
                <w:szCs w:val="18"/>
              </w:rPr>
              <w:t>马鞍山基石智能制造产业基金合伙企业（有限合伙）</w:t>
            </w:r>
          </w:p>
        </w:tc>
        <w:tc>
          <w:tcPr>
            <w:tcW w:w="911" w:type="pct"/>
            <w:vAlign w:val="center"/>
          </w:tcPr>
          <w:p w14:paraId="18ABA170"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17,948,718</w:t>
            </w:r>
          </w:p>
        </w:tc>
        <w:tc>
          <w:tcPr>
            <w:tcW w:w="911" w:type="pct"/>
            <w:vAlign w:val="center"/>
          </w:tcPr>
          <w:p w14:paraId="0B5D11AB"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3.44%</w:t>
            </w:r>
          </w:p>
        </w:tc>
        <w:tc>
          <w:tcPr>
            <w:tcW w:w="911" w:type="pct"/>
            <w:vAlign w:val="center"/>
          </w:tcPr>
          <w:p w14:paraId="0C7B87A5"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17,948,718</w:t>
            </w:r>
          </w:p>
        </w:tc>
        <w:tc>
          <w:tcPr>
            <w:tcW w:w="910" w:type="pct"/>
            <w:vAlign w:val="center"/>
          </w:tcPr>
          <w:p w14:paraId="7A0F7318"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hint="eastAsia"/>
                <w:sz w:val="18"/>
                <w:szCs w:val="18"/>
              </w:rPr>
              <w:t>0</w:t>
            </w:r>
          </w:p>
        </w:tc>
      </w:tr>
      <w:tr w:rsidR="00CF2A19" w:rsidRPr="00CF2A19" w14:paraId="58257AF6" w14:textId="77777777" w:rsidTr="007D249A">
        <w:trPr>
          <w:trHeight w:val="340"/>
        </w:trPr>
        <w:tc>
          <w:tcPr>
            <w:tcW w:w="447" w:type="pct"/>
            <w:vAlign w:val="center"/>
            <w:hideMark/>
          </w:tcPr>
          <w:p w14:paraId="712EB9B9" w14:textId="77777777" w:rsidR="00CF2A19" w:rsidRPr="00CF2A19" w:rsidRDefault="00CF2A19" w:rsidP="007D249A">
            <w:pPr>
              <w:widowControl/>
              <w:jc w:val="center"/>
              <w:rPr>
                <w:rFonts w:ascii="Times New Roman" w:hAnsi="Times New Roman"/>
                <w:kern w:val="0"/>
                <w:sz w:val="18"/>
                <w:szCs w:val="18"/>
              </w:rPr>
            </w:pPr>
            <w:r w:rsidRPr="00CF2A19">
              <w:rPr>
                <w:rFonts w:ascii="Times New Roman" w:hAnsi="Times New Roman"/>
                <w:kern w:val="0"/>
                <w:sz w:val="18"/>
                <w:szCs w:val="18"/>
              </w:rPr>
              <w:t>2</w:t>
            </w:r>
          </w:p>
        </w:tc>
        <w:tc>
          <w:tcPr>
            <w:tcW w:w="910" w:type="pct"/>
            <w:vAlign w:val="center"/>
          </w:tcPr>
          <w:p w14:paraId="2897CF2A" w14:textId="77777777" w:rsidR="00CF2A19" w:rsidRPr="00CF2A19" w:rsidRDefault="00CF2A19" w:rsidP="007D249A">
            <w:pPr>
              <w:widowControl/>
              <w:jc w:val="left"/>
              <w:textAlignment w:val="center"/>
              <w:rPr>
                <w:rFonts w:ascii="Times New Roman" w:hAnsi="Times New Roman"/>
                <w:sz w:val="18"/>
                <w:szCs w:val="18"/>
              </w:rPr>
            </w:pPr>
            <w:r w:rsidRPr="00CF2A19">
              <w:rPr>
                <w:rFonts w:ascii="Times New Roman" w:hAnsi="Times New Roman"/>
                <w:kern w:val="0"/>
                <w:sz w:val="18"/>
                <w:szCs w:val="18"/>
                <w:lang w:bidi="ar"/>
              </w:rPr>
              <w:t>上海</w:t>
            </w:r>
            <w:proofErr w:type="gramStart"/>
            <w:r w:rsidRPr="00CF2A19">
              <w:rPr>
                <w:rFonts w:ascii="Times New Roman" w:hAnsi="Times New Roman"/>
                <w:kern w:val="0"/>
                <w:sz w:val="18"/>
                <w:szCs w:val="18"/>
                <w:lang w:bidi="ar"/>
              </w:rPr>
              <w:t>鼎晖源霖</w:t>
            </w:r>
            <w:proofErr w:type="gramEnd"/>
            <w:r w:rsidRPr="00CF2A19">
              <w:rPr>
                <w:rFonts w:ascii="Times New Roman" w:hAnsi="Times New Roman"/>
                <w:kern w:val="0"/>
                <w:sz w:val="18"/>
                <w:szCs w:val="18"/>
                <w:lang w:bidi="ar"/>
              </w:rPr>
              <w:t>股权投资合伙企业（有限合伙）</w:t>
            </w:r>
          </w:p>
        </w:tc>
        <w:tc>
          <w:tcPr>
            <w:tcW w:w="911" w:type="pct"/>
            <w:vAlign w:val="center"/>
          </w:tcPr>
          <w:p w14:paraId="62F359E5"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1,111,111</w:t>
            </w:r>
          </w:p>
        </w:tc>
        <w:tc>
          <w:tcPr>
            <w:tcW w:w="911" w:type="pct"/>
            <w:vAlign w:val="center"/>
          </w:tcPr>
          <w:p w14:paraId="2CCC85A7"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0.21%</w:t>
            </w:r>
          </w:p>
        </w:tc>
        <w:tc>
          <w:tcPr>
            <w:tcW w:w="911" w:type="pct"/>
            <w:vAlign w:val="center"/>
          </w:tcPr>
          <w:p w14:paraId="3D301AE1"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1,111,111</w:t>
            </w:r>
          </w:p>
        </w:tc>
        <w:tc>
          <w:tcPr>
            <w:tcW w:w="910" w:type="pct"/>
            <w:vAlign w:val="center"/>
          </w:tcPr>
          <w:p w14:paraId="798400F4"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hint="eastAsia"/>
                <w:sz w:val="18"/>
                <w:szCs w:val="18"/>
              </w:rPr>
              <w:t>0</w:t>
            </w:r>
          </w:p>
        </w:tc>
      </w:tr>
      <w:tr w:rsidR="00CF2A19" w:rsidRPr="00CF2A19" w14:paraId="0DEE199B" w14:textId="77777777" w:rsidTr="007D249A">
        <w:trPr>
          <w:trHeight w:val="340"/>
        </w:trPr>
        <w:tc>
          <w:tcPr>
            <w:tcW w:w="447" w:type="pct"/>
            <w:vAlign w:val="center"/>
          </w:tcPr>
          <w:p w14:paraId="30EB25FB" w14:textId="77777777" w:rsidR="00CF2A19" w:rsidRPr="00CF2A19" w:rsidRDefault="00CF2A19" w:rsidP="007D249A">
            <w:pPr>
              <w:widowControl/>
              <w:jc w:val="center"/>
              <w:rPr>
                <w:rFonts w:ascii="Times New Roman" w:hAnsi="Times New Roman"/>
                <w:b/>
                <w:kern w:val="0"/>
                <w:sz w:val="18"/>
                <w:szCs w:val="18"/>
              </w:rPr>
            </w:pPr>
            <w:r w:rsidRPr="00CF2A19">
              <w:rPr>
                <w:rFonts w:ascii="Times New Roman" w:hAnsi="Times New Roman" w:hint="eastAsia"/>
                <w:b/>
                <w:kern w:val="0"/>
                <w:sz w:val="18"/>
                <w:szCs w:val="18"/>
              </w:rPr>
              <w:t>合计</w:t>
            </w:r>
          </w:p>
        </w:tc>
        <w:tc>
          <w:tcPr>
            <w:tcW w:w="910" w:type="pct"/>
            <w:vAlign w:val="center"/>
          </w:tcPr>
          <w:p w14:paraId="481CD644" w14:textId="77777777" w:rsidR="00CF2A19" w:rsidRPr="00CF2A19" w:rsidRDefault="00CF2A19" w:rsidP="007D249A">
            <w:pPr>
              <w:widowControl/>
              <w:jc w:val="left"/>
              <w:textAlignment w:val="center"/>
              <w:rPr>
                <w:rFonts w:ascii="Times New Roman" w:hAnsi="Times New Roman"/>
                <w:b/>
                <w:kern w:val="0"/>
                <w:sz w:val="18"/>
                <w:szCs w:val="18"/>
                <w:lang w:bidi="ar"/>
              </w:rPr>
            </w:pPr>
          </w:p>
        </w:tc>
        <w:tc>
          <w:tcPr>
            <w:tcW w:w="911" w:type="pct"/>
            <w:vAlign w:val="center"/>
          </w:tcPr>
          <w:p w14:paraId="1554BE81" w14:textId="77777777" w:rsidR="00CF2A19" w:rsidRPr="00CF2A19" w:rsidRDefault="00CF2A19" w:rsidP="007D249A">
            <w:pPr>
              <w:widowControl/>
              <w:jc w:val="right"/>
              <w:textAlignment w:val="center"/>
              <w:rPr>
                <w:rFonts w:ascii="Times New Roman" w:hAnsi="Times New Roman"/>
                <w:kern w:val="0"/>
                <w:sz w:val="18"/>
                <w:szCs w:val="18"/>
                <w:lang w:bidi="ar"/>
              </w:rPr>
            </w:pPr>
            <w:r w:rsidRPr="00CF2A19">
              <w:rPr>
                <w:rFonts w:ascii="Times New Roman" w:hAnsi="Times New Roman"/>
                <w:kern w:val="0"/>
                <w:sz w:val="18"/>
                <w:szCs w:val="18"/>
                <w:lang w:bidi="ar"/>
              </w:rPr>
              <w:t>19,059,829</w:t>
            </w:r>
          </w:p>
        </w:tc>
        <w:tc>
          <w:tcPr>
            <w:tcW w:w="911" w:type="pct"/>
            <w:vAlign w:val="center"/>
          </w:tcPr>
          <w:p w14:paraId="6F1D1F7F" w14:textId="77777777" w:rsidR="00CF2A19" w:rsidRPr="00CF2A19" w:rsidRDefault="00CF2A19" w:rsidP="007D249A">
            <w:pPr>
              <w:widowControl/>
              <w:jc w:val="right"/>
              <w:textAlignment w:val="center"/>
              <w:rPr>
                <w:rFonts w:ascii="Times New Roman" w:hAnsi="Times New Roman"/>
                <w:kern w:val="0"/>
                <w:sz w:val="18"/>
                <w:szCs w:val="18"/>
                <w:lang w:bidi="ar"/>
              </w:rPr>
            </w:pPr>
            <w:r w:rsidRPr="00CF2A19">
              <w:rPr>
                <w:rFonts w:ascii="Times New Roman" w:hAnsi="Times New Roman"/>
                <w:kern w:val="0"/>
                <w:sz w:val="18"/>
                <w:szCs w:val="18"/>
                <w:lang w:bidi="ar"/>
              </w:rPr>
              <w:t>3.65%</w:t>
            </w:r>
          </w:p>
        </w:tc>
        <w:tc>
          <w:tcPr>
            <w:tcW w:w="911" w:type="pct"/>
            <w:vAlign w:val="center"/>
          </w:tcPr>
          <w:p w14:paraId="4B4E33A9" w14:textId="77777777" w:rsidR="00CF2A19" w:rsidRPr="00CF2A19" w:rsidRDefault="00CF2A19" w:rsidP="007D249A">
            <w:pPr>
              <w:widowControl/>
              <w:jc w:val="right"/>
              <w:textAlignment w:val="center"/>
              <w:rPr>
                <w:rFonts w:ascii="Times New Roman" w:hAnsi="Times New Roman"/>
                <w:sz w:val="18"/>
                <w:szCs w:val="18"/>
              </w:rPr>
            </w:pPr>
            <w:r w:rsidRPr="00CF2A19">
              <w:rPr>
                <w:rFonts w:ascii="Times New Roman" w:hAnsi="Times New Roman"/>
                <w:kern w:val="0"/>
                <w:sz w:val="18"/>
                <w:szCs w:val="18"/>
                <w:lang w:bidi="ar"/>
              </w:rPr>
              <w:t>19,059,829</w:t>
            </w:r>
          </w:p>
        </w:tc>
        <w:tc>
          <w:tcPr>
            <w:tcW w:w="910" w:type="pct"/>
            <w:vAlign w:val="center"/>
          </w:tcPr>
          <w:p w14:paraId="1220C339" w14:textId="77777777" w:rsidR="00CF2A19" w:rsidRPr="00CF2A19" w:rsidRDefault="00CF2A19" w:rsidP="007D249A">
            <w:pPr>
              <w:widowControl/>
              <w:jc w:val="right"/>
              <w:textAlignment w:val="center"/>
              <w:rPr>
                <w:rFonts w:ascii="Times New Roman" w:hAnsi="Times New Roman"/>
                <w:b/>
                <w:kern w:val="0"/>
                <w:sz w:val="18"/>
                <w:szCs w:val="18"/>
                <w:lang w:bidi="ar"/>
              </w:rPr>
            </w:pPr>
            <w:r w:rsidRPr="00CF2A19">
              <w:rPr>
                <w:rFonts w:ascii="Times New Roman" w:hAnsi="Times New Roman" w:hint="eastAsia"/>
                <w:b/>
                <w:kern w:val="0"/>
                <w:sz w:val="18"/>
                <w:szCs w:val="18"/>
                <w:lang w:bidi="ar"/>
              </w:rPr>
              <w:t>0</w:t>
            </w:r>
          </w:p>
        </w:tc>
      </w:tr>
    </w:tbl>
    <w:p w14:paraId="0259161F"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4</w:t>
      </w:r>
      <w:r w:rsidRPr="00CF2A19">
        <w:rPr>
          <w:rFonts w:ascii="Times New Roman" w:hAnsi="Times New Roman" w:hint="eastAsia"/>
          <w:sz w:val="24"/>
          <w:szCs w:val="28"/>
        </w:rPr>
        <w:t>、限售股上市流通表：</w:t>
      </w:r>
    </w:p>
    <w:tbl>
      <w:tblPr>
        <w:tblStyle w:val="a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55"/>
        <w:gridCol w:w="3571"/>
        <w:gridCol w:w="3574"/>
      </w:tblGrid>
      <w:tr w:rsidR="00CF2A19" w:rsidRPr="00CF2A19" w14:paraId="2249F94C" w14:textId="77777777" w:rsidTr="00CF2A19">
        <w:trPr>
          <w:trHeight w:val="340"/>
        </w:trPr>
        <w:tc>
          <w:tcPr>
            <w:tcW w:w="986" w:type="pct"/>
            <w:vAlign w:val="center"/>
          </w:tcPr>
          <w:p w14:paraId="2EB24954" w14:textId="77777777" w:rsidR="00CF2A19" w:rsidRPr="00CF2A19" w:rsidRDefault="00CF2A19" w:rsidP="007D249A">
            <w:pPr>
              <w:jc w:val="center"/>
              <w:rPr>
                <w:rFonts w:ascii="Times New Roman" w:hAnsi="Times New Roman"/>
                <w:b/>
                <w:szCs w:val="21"/>
              </w:rPr>
            </w:pPr>
            <w:r w:rsidRPr="00CF2A19">
              <w:rPr>
                <w:rFonts w:ascii="Times New Roman" w:hAnsi="Times New Roman" w:hint="eastAsia"/>
                <w:b/>
                <w:szCs w:val="21"/>
              </w:rPr>
              <w:t>序号</w:t>
            </w:r>
          </w:p>
        </w:tc>
        <w:tc>
          <w:tcPr>
            <w:tcW w:w="2006" w:type="pct"/>
            <w:vAlign w:val="center"/>
          </w:tcPr>
          <w:p w14:paraId="08B3D97D" w14:textId="77777777" w:rsidR="00CF2A19" w:rsidRPr="00CF2A19" w:rsidRDefault="00CF2A19" w:rsidP="007D249A">
            <w:pPr>
              <w:jc w:val="center"/>
              <w:rPr>
                <w:rFonts w:ascii="Times New Roman" w:hAnsi="Times New Roman"/>
                <w:b/>
                <w:szCs w:val="21"/>
              </w:rPr>
            </w:pPr>
            <w:r w:rsidRPr="00CF2A19">
              <w:rPr>
                <w:rFonts w:ascii="Times New Roman" w:hAnsi="Times New Roman" w:hint="eastAsia"/>
                <w:b/>
                <w:szCs w:val="21"/>
              </w:rPr>
              <w:t>限售股类型</w:t>
            </w:r>
          </w:p>
        </w:tc>
        <w:tc>
          <w:tcPr>
            <w:tcW w:w="2008" w:type="pct"/>
            <w:vAlign w:val="center"/>
          </w:tcPr>
          <w:p w14:paraId="76AB3CD7" w14:textId="77777777" w:rsidR="00CF2A19" w:rsidRPr="00CF2A19" w:rsidRDefault="00CF2A19" w:rsidP="007D249A">
            <w:pPr>
              <w:jc w:val="center"/>
              <w:rPr>
                <w:rFonts w:ascii="Times New Roman" w:hAnsi="Times New Roman"/>
                <w:b/>
                <w:szCs w:val="21"/>
              </w:rPr>
            </w:pPr>
            <w:r w:rsidRPr="00CF2A19">
              <w:rPr>
                <w:rFonts w:ascii="Times New Roman" w:hAnsi="Times New Roman" w:hint="eastAsia"/>
                <w:b/>
                <w:szCs w:val="21"/>
              </w:rPr>
              <w:t>本次上市流通数量（股）</w:t>
            </w:r>
          </w:p>
        </w:tc>
      </w:tr>
      <w:tr w:rsidR="00CF2A19" w:rsidRPr="00CF2A19" w14:paraId="3181F0F4" w14:textId="77777777" w:rsidTr="00CF2A19">
        <w:trPr>
          <w:trHeight w:val="340"/>
        </w:trPr>
        <w:tc>
          <w:tcPr>
            <w:tcW w:w="986" w:type="pct"/>
            <w:vAlign w:val="center"/>
          </w:tcPr>
          <w:p w14:paraId="0AED8F63" w14:textId="77777777" w:rsidR="00CF2A19" w:rsidRPr="00CF2A19" w:rsidRDefault="00CF2A19" w:rsidP="007D249A">
            <w:pPr>
              <w:jc w:val="center"/>
              <w:rPr>
                <w:rFonts w:ascii="Times New Roman" w:hAnsi="Times New Roman"/>
                <w:szCs w:val="21"/>
              </w:rPr>
            </w:pPr>
            <w:r w:rsidRPr="00CF2A19">
              <w:rPr>
                <w:rFonts w:ascii="Times New Roman" w:hAnsi="Times New Roman" w:hint="eastAsia"/>
                <w:szCs w:val="21"/>
              </w:rPr>
              <w:lastRenderedPageBreak/>
              <w:t>1</w:t>
            </w:r>
          </w:p>
        </w:tc>
        <w:tc>
          <w:tcPr>
            <w:tcW w:w="2006" w:type="pct"/>
            <w:vAlign w:val="center"/>
          </w:tcPr>
          <w:p w14:paraId="56A273F9" w14:textId="77777777" w:rsidR="00CF2A19" w:rsidRPr="00CF2A19" w:rsidRDefault="00CF2A19" w:rsidP="007D249A">
            <w:pPr>
              <w:jc w:val="center"/>
              <w:rPr>
                <w:rFonts w:ascii="Times New Roman" w:hAnsi="Times New Roman"/>
                <w:szCs w:val="21"/>
              </w:rPr>
            </w:pPr>
            <w:r w:rsidRPr="00CF2A19">
              <w:rPr>
                <w:rFonts w:ascii="Times New Roman" w:hAnsi="Times New Roman" w:hint="eastAsia"/>
                <w:szCs w:val="21"/>
              </w:rPr>
              <w:t>首发限售股</w:t>
            </w:r>
          </w:p>
        </w:tc>
        <w:tc>
          <w:tcPr>
            <w:tcW w:w="2008" w:type="pct"/>
            <w:vAlign w:val="center"/>
          </w:tcPr>
          <w:p w14:paraId="3147FB56" w14:textId="77777777" w:rsidR="00CF2A19" w:rsidRPr="00CF2A19" w:rsidRDefault="00CF2A19" w:rsidP="007D249A">
            <w:pPr>
              <w:jc w:val="right"/>
              <w:rPr>
                <w:rFonts w:ascii="Times New Roman" w:hAnsi="Times New Roman"/>
                <w:szCs w:val="21"/>
              </w:rPr>
            </w:pPr>
            <w:r w:rsidRPr="00CF2A19">
              <w:rPr>
                <w:rFonts w:ascii="Times New Roman" w:hAnsi="Times New Roman"/>
                <w:kern w:val="0"/>
                <w:szCs w:val="21"/>
                <w:lang w:bidi="ar"/>
              </w:rPr>
              <w:t>19,059,829</w:t>
            </w:r>
          </w:p>
        </w:tc>
      </w:tr>
      <w:tr w:rsidR="00CF2A19" w:rsidRPr="00CF2A19" w14:paraId="05592DD5" w14:textId="77777777" w:rsidTr="00CF2A19">
        <w:trPr>
          <w:trHeight w:val="340"/>
        </w:trPr>
        <w:tc>
          <w:tcPr>
            <w:tcW w:w="986" w:type="pct"/>
            <w:vAlign w:val="center"/>
          </w:tcPr>
          <w:p w14:paraId="61058AE5" w14:textId="77777777" w:rsidR="00CF2A19" w:rsidRPr="00CF2A19" w:rsidRDefault="00CF2A19" w:rsidP="007D249A">
            <w:pPr>
              <w:jc w:val="center"/>
              <w:rPr>
                <w:rFonts w:ascii="Times New Roman" w:hAnsi="Times New Roman"/>
                <w:b/>
                <w:szCs w:val="21"/>
              </w:rPr>
            </w:pPr>
            <w:r w:rsidRPr="00CF2A19">
              <w:rPr>
                <w:rFonts w:ascii="Times New Roman" w:hAnsi="Times New Roman" w:hint="eastAsia"/>
                <w:b/>
                <w:szCs w:val="21"/>
              </w:rPr>
              <w:t>合计</w:t>
            </w:r>
          </w:p>
        </w:tc>
        <w:tc>
          <w:tcPr>
            <w:tcW w:w="2006" w:type="pct"/>
            <w:vAlign w:val="center"/>
          </w:tcPr>
          <w:p w14:paraId="2CAE4D42" w14:textId="77777777" w:rsidR="00CF2A19" w:rsidRPr="00CF2A19" w:rsidRDefault="00CF2A19" w:rsidP="007D249A">
            <w:pPr>
              <w:jc w:val="center"/>
              <w:rPr>
                <w:rFonts w:ascii="Times New Roman" w:hAnsi="Times New Roman"/>
                <w:b/>
                <w:szCs w:val="21"/>
              </w:rPr>
            </w:pPr>
          </w:p>
        </w:tc>
        <w:tc>
          <w:tcPr>
            <w:tcW w:w="2008" w:type="pct"/>
            <w:vAlign w:val="center"/>
          </w:tcPr>
          <w:p w14:paraId="35D69D31" w14:textId="77777777" w:rsidR="00CF2A19" w:rsidRPr="00CF2A19" w:rsidRDefault="00CF2A19" w:rsidP="007D249A">
            <w:pPr>
              <w:jc w:val="right"/>
              <w:rPr>
                <w:rFonts w:ascii="Times New Roman" w:hAnsi="Times New Roman"/>
                <w:b/>
                <w:szCs w:val="21"/>
              </w:rPr>
            </w:pPr>
            <w:r w:rsidRPr="00CF2A19">
              <w:rPr>
                <w:rFonts w:ascii="Times New Roman" w:hAnsi="Times New Roman"/>
                <w:kern w:val="0"/>
                <w:szCs w:val="21"/>
                <w:lang w:bidi="ar"/>
              </w:rPr>
              <w:t>19,059,829</w:t>
            </w:r>
          </w:p>
        </w:tc>
      </w:tr>
    </w:tbl>
    <w:p w14:paraId="493FED5D" w14:textId="77777777" w:rsidR="00CF2A19" w:rsidRPr="00CF2A19" w:rsidRDefault="00CF2A19" w:rsidP="00CF2A19">
      <w:pPr>
        <w:spacing w:beforeLines="50" w:before="156" w:afterLines="50" w:after="156" w:line="360" w:lineRule="auto"/>
        <w:ind w:firstLineChars="200" w:firstLine="482"/>
        <w:outlineLvl w:val="0"/>
        <w:rPr>
          <w:rFonts w:ascii="Times New Roman" w:hAnsi="Times New Roman"/>
          <w:b/>
          <w:bCs/>
          <w:sz w:val="24"/>
          <w:szCs w:val="32"/>
        </w:rPr>
      </w:pPr>
      <w:r w:rsidRPr="00CF2A19">
        <w:rPr>
          <w:rFonts w:ascii="Times New Roman" w:hAnsi="Times New Roman"/>
          <w:b/>
          <w:bCs/>
          <w:sz w:val="24"/>
          <w:szCs w:val="32"/>
        </w:rPr>
        <w:t>五、</w:t>
      </w:r>
      <w:r w:rsidRPr="00CF2A19">
        <w:rPr>
          <w:rFonts w:ascii="Times New Roman" w:hAnsi="Times New Roman" w:hint="eastAsia"/>
          <w:b/>
          <w:bCs/>
          <w:sz w:val="24"/>
          <w:szCs w:val="32"/>
        </w:rPr>
        <w:t>保荐机构</w:t>
      </w:r>
      <w:r w:rsidRPr="00CF2A19">
        <w:rPr>
          <w:rFonts w:ascii="Times New Roman" w:hAnsi="Times New Roman"/>
          <w:b/>
          <w:bCs/>
          <w:sz w:val="24"/>
          <w:szCs w:val="32"/>
        </w:rPr>
        <w:t>核查意见</w:t>
      </w:r>
    </w:p>
    <w:p w14:paraId="3481F056"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sz w:val="24"/>
          <w:szCs w:val="28"/>
        </w:rPr>
        <w:t>经核查，</w:t>
      </w:r>
      <w:r w:rsidRPr="00CF2A19">
        <w:rPr>
          <w:rFonts w:ascii="Times New Roman" w:hAnsi="Times New Roman" w:hint="eastAsia"/>
          <w:sz w:val="24"/>
          <w:szCs w:val="28"/>
        </w:rPr>
        <w:t>保荐机构</w:t>
      </w:r>
      <w:r w:rsidRPr="00CF2A19">
        <w:rPr>
          <w:rFonts w:ascii="Times New Roman" w:hAnsi="Times New Roman"/>
          <w:sz w:val="24"/>
          <w:szCs w:val="28"/>
        </w:rPr>
        <w:t>认为：</w:t>
      </w:r>
    </w:p>
    <w:p w14:paraId="77EDEE21"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1</w:t>
      </w:r>
      <w:r w:rsidRPr="00CF2A19">
        <w:rPr>
          <w:rFonts w:ascii="Times New Roman" w:hAnsi="Times New Roman" w:hint="eastAsia"/>
          <w:sz w:val="24"/>
          <w:szCs w:val="28"/>
        </w:rPr>
        <w:t>、埃夫特本次申请上市流通的首次公开发行限售股股东均已严格履行了相应的股份锁定承诺；</w:t>
      </w:r>
    </w:p>
    <w:p w14:paraId="7DD54E7D"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2</w:t>
      </w:r>
      <w:r w:rsidRPr="00CF2A19">
        <w:rPr>
          <w:rFonts w:ascii="Times New Roman" w:hAnsi="Times New Roman" w:hint="eastAsia"/>
          <w:sz w:val="24"/>
          <w:szCs w:val="28"/>
        </w:rPr>
        <w:t>、埃夫特本次申请上市流通的首次公开发行限售股数量、上市流通时间符合《中华人民共和国公司法》、《中华人民共和国证券法》、《证券发行上市保荐业务管理办法》、《上海证券交易所科创板股票上市规则》等法律、法规和规范性文件的要求；</w:t>
      </w:r>
    </w:p>
    <w:p w14:paraId="7B30FDD4"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3</w:t>
      </w:r>
      <w:r w:rsidRPr="00CF2A19">
        <w:rPr>
          <w:rFonts w:ascii="Times New Roman" w:hAnsi="Times New Roman" w:hint="eastAsia"/>
          <w:sz w:val="24"/>
          <w:szCs w:val="28"/>
        </w:rPr>
        <w:t>、截至本核查意见出具日，本次限售股份上市流通的信息披露真实、准确、完整；</w:t>
      </w:r>
    </w:p>
    <w:p w14:paraId="2186A7ED"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4</w:t>
      </w:r>
      <w:r w:rsidRPr="00CF2A19">
        <w:rPr>
          <w:rFonts w:ascii="Times New Roman" w:hAnsi="Times New Roman" w:hint="eastAsia"/>
          <w:sz w:val="24"/>
          <w:szCs w:val="28"/>
        </w:rPr>
        <w:t>、本保荐机构对埃夫特本次网下配售限售股上市流通事项无异议。</w:t>
      </w:r>
    </w:p>
    <w:p w14:paraId="45E4F6F4"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r w:rsidRPr="00CF2A19">
        <w:rPr>
          <w:rFonts w:ascii="Times New Roman" w:hAnsi="Times New Roman" w:hint="eastAsia"/>
          <w:sz w:val="24"/>
          <w:szCs w:val="28"/>
        </w:rPr>
        <w:t>（以下无正文）</w:t>
      </w:r>
    </w:p>
    <w:p w14:paraId="7BE2CFE5" w14:textId="77777777" w:rsidR="00CF2A19" w:rsidRPr="00CF2A19" w:rsidRDefault="00CF2A19" w:rsidP="00CF2A19">
      <w:pPr>
        <w:spacing w:beforeLines="50" w:before="156" w:line="360" w:lineRule="auto"/>
        <w:rPr>
          <w:rFonts w:ascii="Times New Roman" w:hAnsi="Times New Roman"/>
          <w:sz w:val="24"/>
          <w:szCs w:val="28"/>
        </w:rPr>
      </w:pPr>
      <w:r w:rsidRPr="00CF2A19">
        <w:rPr>
          <w:rFonts w:ascii="Times New Roman" w:hAnsi="Times New Roman"/>
          <w:sz w:val="24"/>
          <w:szCs w:val="28"/>
        </w:rPr>
        <w:br w:type="page"/>
      </w:r>
      <w:r w:rsidRPr="00CF2A19">
        <w:rPr>
          <w:rFonts w:ascii="Times New Roman" w:hAnsi="Times New Roman"/>
          <w:sz w:val="24"/>
          <w:szCs w:val="28"/>
        </w:rPr>
        <w:lastRenderedPageBreak/>
        <w:t>【本页无正文，为《</w:t>
      </w:r>
      <w:r w:rsidRPr="00CF2A19">
        <w:rPr>
          <w:rFonts w:ascii="Times New Roman" w:hAnsi="Times New Roman" w:hint="eastAsia"/>
          <w:sz w:val="24"/>
          <w:szCs w:val="28"/>
        </w:rPr>
        <w:t>国信证券股份有限公司关于埃夫特智能装备股份有限公司首次公开发行部分限售股解禁上市流通的核查意见</w:t>
      </w:r>
      <w:r w:rsidRPr="00CF2A19">
        <w:rPr>
          <w:rFonts w:ascii="Times New Roman" w:hAnsi="Times New Roman"/>
          <w:sz w:val="24"/>
          <w:szCs w:val="28"/>
        </w:rPr>
        <w:t>》的</w:t>
      </w:r>
      <w:r w:rsidRPr="00CF2A19">
        <w:rPr>
          <w:rFonts w:ascii="Times New Roman" w:hAnsi="Times New Roman" w:hint="eastAsia"/>
          <w:sz w:val="24"/>
          <w:szCs w:val="28"/>
        </w:rPr>
        <w:t>签字</w:t>
      </w:r>
      <w:r w:rsidRPr="00CF2A19">
        <w:rPr>
          <w:rFonts w:ascii="Times New Roman" w:hAnsi="Times New Roman"/>
          <w:sz w:val="24"/>
          <w:szCs w:val="28"/>
        </w:rPr>
        <w:t>页】</w:t>
      </w:r>
    </w:p>
    <w:p w14:paraId="474E7B8D" w14:textId="77777777" w:rsidR="00CF2A19" w:rsidRPr="00CF2A19" w:rsidRDefault="002B18D2" w:rsidP="002B18D2">
      <w:pPr>
        <w:spacing w:beforeLines="50" w:before="156" w:line="360" w:lineRule="auto"/>
        <w:ind w:firstLineChars="200" w:firstLine="480"/>
        <w:rPr>
          <w:rFonts w:ascii="Times New Roman" w:hAnsi="Times New Roman"/>
          <w:sz w:val="24"/>
          <w:szCs w:val="28"/>
        </w:rPr>
      </w:pPr>
      <w:r>
        <w:rPr>
          <w:rFonts w:ascii="Times New Roman" w:hAnsi="Times New Roman"/>
          <w:noProof/>
          <w:sz w:val="24"/>
          <w:szCs w:val="28"/>
        </w:rPr>
        <w:drawing>
          <wp:anchor distT="0" distB="0" distL="114300" distR="114300" simplePos="0" relativeHeight="251658240" behindDoc="0" locked="0" layoutInCell="1" allowOverlap="1" wp14:anchorId="0BA537C7" wp14:editId="5C5981F8">
            <wp:simplePos x="0" y="0"/>
            <wp:positionH relativeFrom="column">
              <wp:posOffset>-999067</wp:posOffset>
            </wp:positionH>
            <wp:positionV relativeFrom="paragraph">
              <wp:posOffset>-1607820</wp:posOffset>
            </wp:positionV>
            <wp:extent cx="7573434" cy="10713639"/>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352" cy="107163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6B7B3" w14:textId="77777777" w:rsidR="00CF2A19" w:rsidRPr="00CF2A19" w:rsidRDefault="00CF2A19" w:rsidP="00CF2A19">
      <w:pPr>
        <w:spacing w:beforeLines="50" w:before="156" w:line="360" w:lineRule="auto"/>
        <w:ind w:firstLineChars="200" w:firstLine="480"/>
        <w:rPr>
          <w:rFonts w:ascii="Times New Roman" w:hAnsi="Times New Roman"/>
          <w:sz w:val="24"/>
          <w:szCs w:val="28"/>
        </w:rPr>
      </w:pPr>
    </w:p>
    <w:p w14:paraId="362221F3" w14:textId="77777777" w:rsidR="00CF2A19" w:rsidRPr="00CF2A19" w:rsidRDefault="00CF2A19" w:rsidP="00CF2A19">
      <w:pPr>
        <w:widowControl/>
        <w:spacing w:beforeLines="50" w:before="156" w:line="360" w:lineRule="auto"/>
        <w:ind w:firstLineChars="200" w:firstLine="480"/>
        <w:jc w:val="left"/>
        <w:rPr>
          <w:rFonts w:ascii="Times New Roman" w:hAnsi="Times New Roman"/>
          <w:kern w:val="0"/>
          <w:sz w:val="24"/>
          <w:szCs w:val="24"/>
        </w:rPr>
      </w:pPr>
    </w:p>
    <w:p w14:paraId="567D2B89" w14:textId="77777777" w:rsidR="00CF2A19" w:rsidRPr="00CF2A19" w:rsidRDefault="00CF2A19" w:rsidP="00CF2A19">
      <w:pPr>
        <w:widowControl/>
        <w:spacing w:beforeLines="50" w:before="156" w:line="360" w:lineRule="auto"/>
        <w:ind w:firstLineChars="200" w:firstLine="480"/>
        <w:jc w:val="left"/>
        <w:rPr>
          <w:rFonts w:ascii="Times New Roman" w:hAnsi="Times New Roman"/>
          <w:kern w:val="0"/>
          <w:sz w:val="24"/>
          <w:szCs w:val="24"/>
        </w:rPr>
      </w:pPr>
    </w:p>
    <w:tbl>
      <w:tblPr>
        <w:tblW w:w="0" w:type="auto"/>
        <w:tblInd w:w="108" w:type="dxa"/>
        <w:tblLayout w:type="fixed"/>
        <w:tblLook w:val="0000" w:firstRow="0" w:lastRow="0" w:firstColumn="0" w:lastColumn="0" w:noHBand="0" w:noVBand="0"/>
      </w:tblPr>
      <w:tblGrid>
        <w:gridCol w:w="2871"/>
        <w:gridCol w:w="240"/>
        <w:gridCol w:w="1910"/>
        <w:gridCol w:w="680"/>
        <w:gridCol w:w="1798"/>
      </w:tblGrid>
      <w:tr w:rsidR="00CF2A19" w:rsidRPr="00CF2A19" w14:paraId="283497B2" w14:textId="77777777" w:rsidTr="007D249A">
        <w:tc>
          <w:tcPr>
            <w:tcW w:w="2871" w:type="dxa"/>
            <w:vAlign w:val="center"/>
          </w:tcPr>
          <w:p w14:paraId="1AFC12D2" w14:textId="77777777" w:rsidR="00CF2A19" w:rsidRPr="00CF2A19" w:rsidRDefault="00CF2A19" w:rsidP="007D249A">
            <w:pPr>
              <w:spacing w:line="360" w:lineRule="auto"/>
              <w:jc w:val="center"/>
              <w:rPr>
                <w:rFonts w:ascii="Times New Roman" w:hAnsi="Times New Roman"/>
                <w:sz w:val="24"/>
                <w:szCs w:val="24"/>
              </w:rPr>
            </w:pPr>
            <w:r w:rsidRPr="00CF2A19">
              <w:rPr>
                <w:rFonts w:ascii="Times New Roman" w:hAnsi="Times New Roman" w:hint="eastAsia"/>
                <w:sz w:val="24"/>
                <w:szCs w:val="24"/>
              </w:rPr>
              <w:t>保荐代表</w:t>
            </w:r>
            <w:r w:rsidRPr="00CF2A19">
              <w:rPr>
                <w:rFonts w:ascii="Times New Roman" w:hAnsi="Times New Roman"/>
                <w:sz w:val="24"/>
                <w:szCs w:val="24"/>
              </w:rPr>
              <w:t>人：</w:t>
            </w:r>
          </w:p>
        </w:tc>
        <w:tc>
          <w:tcPr>
            <w:tcW w:w="240" w:type="dxa"/>
            <w:vAlign w:val="center"/>
          </w:tcPr>
          <w:p w14:paraId="536AB2EB" w14:textId="77777777" w:rsidR="00CF2A19" w:rsidRPr="00CF2A19" w:rsidRDefault="00CF2A19" w:rsidP="007D249A">
            <w:pPr>
              <w:spacing w:line="360" w:lineRule="auto"/>
              <w:jc w:val="center"/>
              <w:rPr>
                <w:rFonts w:ascii="Times New Roman" w:hAnsi="Times New Roman"/>
                <w:sz w:val="24"/>
                <w:szCs w:val="24"/>
              </w:rPr>
            </w:pPr>
          </w:p>
        </w:tc>
        <w:tc>
          <w:tcPr>
            <w:tcW w:w="1910" w:type="dxa"/>
            <w:tcBorders>
              <w:bottom w:val="single" w:sz="4" w:space="0" w:color="auto"/>
            </w:tcBorders>
            <w:vAlign w:val="center"/>
          </w:tcPr>
          <w:p w14:paraId="3F5EB6CA" w14:textId="77777777" w:rsidR="00CF2A19" w:rsidRPr="00CF2A19" w:rsidRDefault="00CF2A19" w:rsidP="007D249A">
            <w:pPr>
              <w:spacing w:line="360" w:lineRule="auto"/>
              <w:jc w:val="center"/>
              <w:rPr>
                <w:rFonts w:ascii="Times New Roman" w:hAnsi="Times New Roman"/>
                <w:sz w:val="24"/>
                <w:szCs w:val="24"/>
              </w:rPr>
            </w:pPr>
          </w:p>
        </w:tc>
        <w:tc>
          <w:tcPr>
            <w:tcW w:w="680" w:type="dxa"/>
            <w:vAlign w:val="center"/>
          </w:tcPr>
          <w:p w14:paraId="2F973FEC" w14:textId="77777777" w:rsidR="00CF2A19" w:rsidRPr="00CF2A19" w:rsidRDefault="00CF2A19" w:rsidP="007D249A">
            <w:pPr>
              <w:spacing w:line="360" w:lineRule="auto"/>
              <w:jc w:val="center"/>
              <w:rPr>
                <w:rFonts w:ascii="Times New Roman" w:hAnsi="Times New Roman"/>
                <w:sz w:val="24"/>
                <w:szCs w:val="24"/>
              </w:rPr>
            </w:pPr>
          </w:p>
        </w:tc>
        <w:tc>
          <w:tcPr>
            <w:tcW w:w="1798" w:type="dxa"/>
            <w:tcBorders>
              <w:bottom w:val="single" w:sz="4" w:space="0" w:color="auto"/>
            </w:tcBorders>
            <w:vAlign w:val="center"/>
          </w:tcPr>
          <w:p w14:paraId="587C00B9" w14:textId="77777777" w:rsidR="00CF2A19" w:rsidRPr="00CF2A19" w:rsidRDefault="00CF2A19" w:rsidP="007D249A">
            <w:pPr>
              <w:spacing w:line="360" w:lineRule="auto"/>
              <w:jc w:val="center"/>
              <w:rPr>
                <w:rFonts w:ascii="Times New Roman" w:hAnsi="Times New Roman"/>
                <w:sz w:val="24"/>
                <w:szCs w:val="24"/>
              </w:rPr>
            </w:pPr>
          </w:p>
        </w:tc>
      </w:tr>
      <w:tr w:rsidR="00CF2A19" w:rsidRPr="00CF2A19" w14:paraId="14B1ADFF" w14:textId="77777777" w:rsidTr="007D249A">
        <w:tc>
          <w:tcPr>
            <w:tcW w:w="2871" w:type="dxa"/>
            <w:vAlign w:val="center"/>
          </w:tcPr>
          <w:p w14:paraId="04AC3D04" w14:textId="77777777" w:rsidR="00CF2A19" w:rsidRPr="00CF2A19" w:rsidRDefault="00CF2A19" w:rsidP="007D249A">
            <w:pPr>
              <w:spacing w:line="360" w:lineRule="auto"/>
              <w:jc w:val="center"/>
              <w:rPr>
                <w:rFonts w:ascii="Times New Roman" w:hAnsi="Times New Roman"/>
                <w:sz w:val="24"/>
                <w:szCs w:val="24"/>
              </w:rPr>
            </w:pPr>
          </w:p>
        </w:tc>
        <w:tc>
          <w:tcPr>
            <w:tcW w:w="240" w:type="dxa"/>
            <w:vAlign w:val="center"/>
          </w:tcPr>
          <w:p w14:paraId="5EAD8284" w14:textId="77777777" w:rsidR="00CF2A19" w:rsidRPr="00CF2A19" w:rsidRDefault="00CF2A19" w:rsidP="007D249A">
            <w:pPr>
              <w:spacing w:line="360" w:lineRule="auto"/>
              <w:jc w:val="center"/>
              <w:rPr>
                <w:rFonts w:ascii="Times New Roman" w:hAnsi="Times New Roman"/>
                <w:sz w:val="24"/>
                <w:szCs w:val="24"/>
              </w:rPr>
            </w:pPr>
          </w:p>
        </w:tc>
        <w:tc>
          <w:tcPr>
            <w:tcW w:w="1910" w:type="dxa"/>
            <w:tcBorders>
              <w:top w:val="single" w:sz="4" w:space="0" w:color="auto"/>
            </w:tcBorders>
            <w:vAlign w:val="center"/>
          </w:tcPr>
          <w:p w14:paraId="4174E768" w14:textId="77777777" w:rsidR="00CF2A19" w:rsidRPr="00CF2A19" w:rsidRDefault="00CF2A19" w:rsidP="007D249A">
            <w:pPr>
              <w:spacing w:line="360" w:lineRule="auto"/>
              <w:jc w:val="center"/>
              <w:rPr>
                <w:rFonts w:ascii="Times New Roman" w:hAnsi="Times New Roman"/>
                <w:sz w:val="24"/>
                <w:szCs w:val="24"/>
              </w:rPr>
            </w:pPr>
            <w:proofErr w:type="gramStart"/>
            <w:r w:rsidRPr="00CF2A19">
              <w:rPr>
                <w:rFonts w:ascii="Times New Roman" w:hAnsi="Times New Roman" w:hint="eastAsia"/>
                <w:sz w:val="24"/>
                <w:szCs w:val="24"/>
              </w:rPr>
              <w:t>张存涛</w:t>
            </w:r>
            <w:proofErr w:type="gramEnd"/>
          </w:p>
        </w:tc>
        <w:tc>
          <w:tcPr>
            <w:tcW w:w="680" w:type="dxa"/>
            <w:vAlign w:val="center"/>
          </w:tcPr>
          <w:p w14:paraId="3CDE585F" w14:textId="77777777" w:rsidR="00CF2A19" w:rsidRPr="00CF2A19" w:rsidRDefault="00CF2A19" w:rsidP="007D249A">
            <w:pPr>
              <w:spacing w:line="360" w:lineRule="auto"/>
              <w:jc w:val="center"/>
              <w:rPr>
                <w:rFonts w:ascii="Times New Roman" w:hAnsi="Times New Roman"/>
                <w:sz w:val="24"/>
                <w:szCs w:val="24"/>
              </w:rPr>
            </w:pPr>
          </w:p>
        </w:tc>
        <w:tc>
          <w:tcPr>
            <w:tcW w:w="1798" w:type="dxa"/>
            <w:tcBorders>
              <w:top w:val="single" w:sz="4" w:space="0" w:color="auto"/>
            </w:tcBorders>
            <w:vAlign w:val="center"/>
          </w:tcPr>
          <w:p w14:paraId="38F11B50" w14:textId="77777777" w:rsidR="00CF2A19" w:rsidRPr="00CF2A19" w:rsidRDefault="00CF2A19" w:rsidP="007D249A">
            <w:pPr>
              <w:spacing w:line="360" w:lineRule="auto"/>
              <w:jc w:val="center"/>
              <w:rPr>
                <w:rFonts w:ascii="Times New Roman" w:hAnsi="Times New Roman"/>
                <w:sz w:val="24"/>
                <w:szCs w:val="24"/>
              </w:rPr>
            </w:pPr>
            <w:proofErr w:type="gramStart"/>
            <w:r w:rsidRPr="00CF2A19">
              <w:rPr>
                <w:rFonts w:ascii="Times New Roman" w:hAnsi="Times New Roman" w:hint="eastAsia"/>
                <w:sz w:val="24"/>
                <w:szCs w:val="24"/>
              </w:rPr>
              <w:t>李明克</w:t>
            </w:r>
            <w:proofErr w:type="gramEnd"/>
          </w:p>
        </w:tc>
      </w:tr>
    </w:tbl>
    <w:p w14:paraId="7F6CD29E" w14:textId="77777777" w:rsidR="00CF2A19" w:rsidRPr="00CF2A19" w:rsidRDefault="00CF2A19" w:rsidP="00CF2A19">
      <w:pPr>
        <w:spacing w:afterLines="50" w:after="156" w:line="360" w:lineRule="auto"/>
        <w:rPr>
          <w:rFonts w:ascii="Times New Roman" w:hAnsi="Times New Roman"/>
          <w:sz w:val="24"/>
          <w:szCs w:val="24"/>
        </w:rPr>
      </w:pPr>
    </w:p>
    <w:p w14:paraId="0CD90671" w14:textId="77777777" w:rsidR="00CF2A19" w:rsidRPr="00CF2A19" w:rsidRDefault="00CF2A19" w:rsidP="00CF2A19">
      <w:pPr>
        <w:spacing w:afterLines="50" w:after="156" w:line="360" w:lineRule="auto"/>
        <w:rPr>
          <w:rFonts w:ascii="Times New Roman" w:hAnsi="Times New Roman"/>
          <w:sz w:val="24"/>
          <w:szCs w:val="24"/>
        </w:rPr>
      </w:pPr>
    </w:p>
    <w:p w14:paraId="7CD8C715" w14:textId="77777777" w:rsidR="00CF2A19" w:rsidRPr="00CF2A19" w:rsidRDefault="00CF2A19" w:rsidP="00CF2A19">
      <w:pPr>
        <w:spacing w:afterLines="50" w:after="156" w:line="360" w:lineRule="auto"/>
        <w:rPr>
          <w:rFonts w:ascii="Times New Roman" w:hAnsi="Times New Roman"/>
          <w:sz w:val="24"/>
          <w:szCs w:val="24"/>
        </w:rPr>
      </w:pPr>
    </w:p>
    <w:p w14:paraId="235A6D03" w14:textId="77777777" w:rsidR="00CF2A19" w:rsidRPr="00CF2A19" w:rsidRDefault="00CF2A19" w:rsidP="00CF2A19">
      <w:pPr>
        <w:spacing w:afterLines="50" w:after="156" w:line="360" w:lineRule="auto"/>
        <w:rPr>
          <w:rFonts w:ascii="Times New Roman" w:hAnsi="Times New Roman"/>
          <w:sz w:val="24"/>
          <w:szCs w:val="24"/>
        </w:rPr>
      </w:pPr>
    </w:p>
    <w:p w14:paraId="5F14D3A5" w14:textId="77777777" w:rsidR="00CF2A19" w:rsidRPr="00CF2A19" w:rsidRDefault="00CF2A19" w:rsidP="00CF2A19">
      <w:pPr>
        <w:spacing w:afterLines="50" w:after="156" w:line="360" w:lineRule="auto"/>
        <w:jc w:val="right"/>
        <w:rPr>
          <w:rFonts w:ascii="Times New Roman" w:hAnsi="Times New Roman"/>
          <w:sz w:val="24"/>
          <w:szCs w:val="24"/>
        </w:rPr>
      </w:pPr>
      <w:r w:rsidRPr="00CF2A19">
        <w:rPr>
          <w:rFonts w:ascii="Times New Roman" w:hAnsi="Times New Roman"/>
          <w:sz w:val="24"/>
          <w:szCs w:val="24"/>
        </w:rPr>
        <w:t>国信证券股份有限公司</w:t>
      </w:r>
    </w:p>
    <w:p w14:paraId="3D084CB0" w14:textId="77777777" w:rsidR="00CF2A19" w:rsidRPr="00CF2A19" w:rsidRDefault="00CF2A19" w:rsidP="00CF2A19">
      <w:pPr>
        <w:spacing w:afterLines="50" w:after="156" w:line="360" w:lineRule="auto"/>
        <w:jc w:val="right"/>
        <w:rPr>
          <w:rFonts w:ascii="Times New Roman" w:hAnsi="Times New Roman"/>
          <w:szCs w:val="24"/>
        </w:rPr>
      </w:pPr>
      <w:r w:rsidRPr="00CF2A19">
        <w:rPr>
          <w:rFonts w:ascii="Times New Roman" w:hAnsi="Times New Roman"/>
          <w:sz w:val="24"/>
          <w:szCs w:val="24"/>
        </w:rPr>
        <w:t xml:space="preserve">    </w:t>
      </w:r>
      <w:r w:rsidRPr="00CF2A19">
        <w:rPr>
          <w:rFonts w:ascii="Times New Roman" w:hAnsi="Times New Roman"/>
          <w:sz w:val="24"/>
          <w:szCs w:val="24"/>
        </w:rPr>
        <w:t>年</w:t>
      </w:r>
      <w:r w:rsidRPr="00CF2A19">
        <w:rPr>
          <w:rFonts w:ascii="Times New Roman" w:hAnsi="Times New Roman"/>
          <w:sz w:val="24"/>
          <w:szCs w:val="24"/>
        </w:rPr>
        <w:t xml:space="preserve">    </w:t>
      </w:r>
      <w:r w:rsidRPr="00CF2A19">
        <w:rPr>
          <w:rFonts w:ascii="Times New Roman" w:hAnsi="Times New Roman"/>
          <w:sz w:val="24"/>
          <w:szCs w:val="24"/>
        </w:rPr>
        <w:t>月</w:t>
      </w:r>
      <w:r w:rsidRPr="00CF2A19">
        <w:rPr>
          <w:rFonts w:ascii="Times New Roman" w:hAnsi="Times New Roman"/>
          <w:sz w:val="24"/>
          <w:szCs w:val="24"/>
        </w:rPr>
        <w:t xml:space="preserve">    </w:t>
      </w:r>
      <w:r w:rsidRPr="00CF2A19">
        <w:rPr>
          <w:rFonts w:ascii="Times New Roman" w:hAnsi="Times New Roman"/>
          <w:sz w:val="24"/>
          <w:szCs w:val="24"/>
        </w:rPr>
        <w:t>日</w:t>
      </w:r>
    </w:p>
    <w:p w14:paraId="0272DD6C" w14:textId="77777777" w:rsidR="00C75F39" w:rsidRPr="00CF2A19" w:rsidRDefault="00C75F39"/>
    <w:sectPr w:rsidR="00C75F39" w:rsidRPr="00CF2A19">
      <w:footerReference w:type="default" r:id="rId7"/>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6C0C" w14:textId="77777777" w:rsidR="00A3203B" w:rsidRDefault="00A3203B" w:rsidP="00CF2A19">
      <w:r>
        <w:separator/>
      </w:r>
    </w:p>
  </w:endnote>
  <w:endnote w:type="continuationSeparator" w:id="0">
    <w:p w14:paraId="74DFD7B2" w14:textId="77777777" w:rsidR="00A3203B" w:rsidRDefault="00A3203B" w:rsidP="00CF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0AFC" w14:textId="77777777" w:rsidR="00775455" w:rsidRDefault="00DB5C74">
    <w:pPr>
      <w:pStyle w:val="a5"/>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sidR="002B18D2" w:rsidRPr="002B18D2">
      <w:rPr>
        <w:rFonts w:ascii="Times New Roman" w:hAnsi="Times New Roman"/>
        <w:noProof/>
        <w:sz w:val="21"/>
        <w:lang w:val="zh-CN"/>
      </w:rPr>
      <w:t>5</w:t>
    </w:r>
    <w:r>
      <w:rPr>
        <w:rFonts w:ascii="Times New Roman" w:hAnsi="Times New Roman"/>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19AD" w14:textId="77777777" w:rsidR="00A3203B" w:rsidRDefault="00A3203B" w:rsidP="00CF2A19">
      <w:r>
        <w:separator/>
      </w:r>
    </w:p>
  </w:footnote>
  <w:footnote w:type="continuationSeparator" w:id="0">
    <w:p w14:paraId="5124A599" w14:textId="77777777" w:rsidR="00A3203B" w:rsidRDefault="00A3203B" w:rsidP="00CF2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0D"/>
    <w:rsid w:val="000667ED"/>
    <w:rsid w:val="00293CC6"/>
    <w:rsid w:val="002B18D2"/>
    <w:rsid w:val="004267C0"/>
    <w:rsid w:val="009E7529"/>
    <w:rsid w:val="00A3203B"/>
    <w:rsid w:val="00B575A4"/>
    <w:rsid w:val="00B9190D"/>
    <w:rsid w:val="00C75F39"/>
    <w:rsid w:val="00CF2A19"/>
    <w:rsid w:val="00DB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42F5F"/>
  <w15:docId w15:val="{77A2AB02-745A-4EAE-B7AD-CBDA7F60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A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A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2A19"/>
    <w:rPr>
      <w:sz w:val="18"/>
      <w:szCs w:val="18"/>
    </w:rPr>
  </w:style>
  <w:style w:type="paragraph" w:styleId="a5">
    <w:name w:val="footer"/>
    <w:basedOn w:val="a"/>
    <w:link w:val="a6"/>
    <w:uiPriority w:val="99"/>
    <w:unhideWhenUsed/>
    <w:qFormat/>
    <w:rsid w:val="00CF2A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2A19"/>
    <w:rPr>
      <w:sz w:val="18"/>
      <w:szCs w:val="18"/>
    </w:rPr>
  </w:style>
  <w:style w:type="table" w:styleId="a7">
    <w:name w:val="Table Grid"/>
    <w:basedOn w:val="a1"/>
    <w:rsid w:val="00CF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67ED"/>
    <w:rPr>
      <w:sz w:val="18"/>
      <w:szCs w:val="18"/>
    </w:rPr>
  </w:style>
  <w:style w:type="character" w:customStyle="1" w:styleId="a9">
    <w:name w:val="批注框文本 字符"/>
    <w:basedOn w:val="a0"/>
    <w:link w:val="a8"/>
    <w:uiPriority w:val="99"/>
    <w:semiHidden/>
    <w:rsid w:val="000667E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430</Words>
  <Characters>2457</Characters>
  <Application>Microsoft Office Word</Application>
  <DocSecurity>0</DocSecurity>
  <Lines>20</Lines>
  <Paragraphs>5</Paragraphs>
  <ScaleCrop>false</ScaleCrop>
  <Company>Microsoft</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赵辰恺 11966</dc:creator>
  <cp:lastModifiedBy>伍 玉蓉</cp:lastModifiedBy>
  <cp:revision>2</cp:revision>
  <cp:lastPrinted>2021-12-16T10:51:00Z</cp:lastPrinted>
  <dcterms:created xsi:type="dcterms:W3CDTF">2021-12-17T03:47:00Z</dcterms:created>
  <dcterms:modified xsi:type="dcterms:W3CDTF">2021-12-17T03:47:00Z</dcterms:modified>
</cp:coreProperties>
</file>