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cs="宋体"/>
          <w:sz w:val="24"/>
          <w:szCs w:val="24"/>
        </w:rPr>
        <w:t>证券代码：</w:t>
      </w:r>
      <w:r>
        <w:rPr>
          <w:rFonts w:hint="eastAsia" w:cs="宋体"/>
          <w:sz w:val="24"/>
          <w:szCs w:val="24"/>
        </w:rPr>
        <w:t>688165</w:t>
      </w:r>
      <w:r>
        <w:rPr>
          <w:rFonts w:hint="eastAsia" w:ascii="宋体" w:hAnsi="宋体" w:cs="宋体"/>
          <w:sz w:val="24"/>
          <w:szCs w:val="24"/>
        </w:rPr>
        <w:t xml:space="preserve">          证券简称：埃夫特        公告编号：</w:t>
      </w:r>
      <w:r>
        <w:rPr>
          <w:rFonts w:hint="eastAsia" w:cs="宋体"/>
          <w:sz w:val="24"/>
          <w:szCs w:val="24"/>
        </w:rPr>
        <w:t>202</w:t>
      </w:r>
      <w:r>
        <w:rPr>
          <w:rFonts w:cs="宋体"/>
          <w:sz w:val="24"/>
          <w:szCs w:val="24"/>
        </w:rPr>
        <w:t>1</w:t>
      </w:r>
      <w:r>
        <w:rPr>
          <w:rFonts w:hint="eastAsia" w:ascii="宋体" w:hAnsi="宋体" w:cs="宋体"/>
          <w:sz w:val="24"/>
          <w:szCs w:val="24"/>
        </w:rPr>
        <w:t>-</w:t>
      </w:r>
      <w:r>
        <w:rPr>
          <w:rFonts w:hint="eastAsia" w:cs="宋体"/>
          <w:sz w:val="24"/>
          <w:szCs w:val="24"/>
        </w:rPr>
        <w:t>0</w:t>
      </w:r>
      <w:r>
        <w:rPr>
          <w:rFonts w:hint="eastAsia" w:cs="宋体"/>
          <w:sz w:val="24"/>
          <w:szCs w:val="24"/>
          <w:lang w:val="en-US" w:eastAsia="zh-CN"/>
        </w:rPr>
        <w:t>37</w:t>
      </w:r>
    </w:p>
    <w:p>
      <w:pPr>
        <w:adjustRightInd w:val="0"/>
        <w:snapToGrid w:val="0"/>
        <w:spacing w:line="360" w:lineRule="auto"/>
        <w:ind w:firstLine="480" w:firstLineChars="200"/>
        <w:jc w:val="left"/>
        <w:rPr>
          <w:rFonts w:ascii="宋体" w:hAnsi="宋体" w:cs="宋体"/>
          <w:sz w:val="24"/>
          <w:szCs w:val="24"/>
        </w:rPr>
      </w:pPr>
    </w:p>
    <w:p>
      <w:pPr>
        <w:snapToGrid w:val="0"/>
        <w:spacing w:before="156" w:beforeLines="50" w:line="360" w:lineRule="exact"/>
        <w:jc w:val="center"/>
        <w:rPr>
          <w:rFonts w:ascii="黑体" w:hAnsi="黑体" w:eastAsia="黑体" w:cs="黑体"/>
          <w:b/>
          <w:color w:val="FF0000"/>
          <w:sz w:val="36"/>
          <w:szCs w:val="36"/>
        </w:rPr>
      </w:pPr>
      <w:r>
        <w:rPr>
          <w:rFonts w:hint="eastAsia" w:ascii="黑体" w:hAnsi="黑体" w:eastAsia="黑体" w:cs="黑体"/>
          <w:b/>
          <w:color w:val="FF0000"/>
          <w:sz w:val="36"/>
          <w:szCs w:val="36"/>
        </w:rPr>
        <w:t>埃夫特智能装备股份有限公司</w:t>
      </w:r>
    </w:p>
    <w:p>
      <w:pPr>
        <w:snapToGrid w:val="0"/>
        <w:spacing w:before="156" w:beforeLines="50" w:line="360" w:lineRule="exact"/>
        <w:jc w:val="center"/>
        <w:rPr>
          <w:rFonts w:ascii="宋体" w:hAnsi="宋体" w:cs="宋体"/>
          <w:b/>
          <w:color w:val="000000"/>
          <w:sz w:val="36"/>
          <w:szCs w:val="36"/>
        </w:rPr>
      </w:pPr>
      <w:r>
        <w:rPr>
          <w:rFonts w:hint="eastAsia" w:ascii="黑体" w:hAnsi="黑体" w:eastAsia="黑体" w:cs="黑体"/>
          <w:b/>
          <w:color w:val="FF0000"/>
          <w:sz w:val="36"/>
          <w:szCs w:val="36"/>
        </w:rPr>
        <w:t>第二届董事会</w:t>
      </w:r>
      <w:r>
        <w:rPr>
          <w:rFonts w:hint="eastAsia" w:eastAsia="黑体" w:cs="黑体"/>
          <w:b/>
          <w:color w:val="FF0000"/>
          <w:sz w:val="36"/>
          <w:szCs w:val="36"/>
        </w:rPr>
        <w:t>第十九次</w:t>
      </w:r>
      <w:r>
        <w:rPr>
          <w:rFonts w:hint="eastAsia" w:ascii="黑体" w:hAnsi="黑体" w:eastAsia="黑体" w:cs="黑体"/>
          <w:b/>
          <w:color w:val="FF0000"/>
          <w:sz w:val="36"/>
          <w:szCs w:val="36"/>
        </w:rPr>
        <w:t>会议决议公告</w:t>
      </w:r>
    </w:p>
    <w:p>
      <w:pPr>
        <w:adjustRightInd w:val="0"/>
        <w:snapToGrid w:val="0"/>
        <w:spacing w:line="360" w:lineRule="auto"/>
        <w:rPr>
          <w:rFonts w:ascii="宋体" w:hAnsi="宋体" w:cs="宋体"/>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6"/>
              <w:pBdr>
                <w:top w:val="none" w:color="000000" w:sz="0" w:space="1"/>
                <w:left w:val="none" w:color="000000" w:sz="0" w:space="4"/>
                <w:bottom w:val="none" w:color="000000" w:sz="0" w:space="1"/>
                <w:right w:val="none" w:color="000000" w:sz="0" w:space="4"/>
              </w:pBdr>
              <w:snapToGrid w:val="0"/>
              <w:spacing w:line="360" w:lineRule="auto"/>
              <w:ind w:firstLine="420"/>
              <w:rPr>
                <w:rFonts w:ascii="宋体" w:hAnsi="宋体"/>
                <w:color w:val="000000"/>
              </w:rPr>
            </w:pPr>
            <w:r>
              <w:rPr>
                <w:rFonts w:hint="eastAsia" w:ascii="宋体" w:hAnsi="宋体"/>
                <w:bCs/>
                <w:color w:val="000000"/>
              </w:rPr>
              <w:t>本公司董事会及全体董事保证本公告内容不存在任何虚假记载、误导性陈述或者重大遗漏，并对其内容的真实性、准确性和完整性依法承担法律责任。</w:t>
            </w:r>
          </w:p>
        </w:tc>
      </w:tr>
    </w:tbl>
    <w:p>
      <w:pPr>
        <w:pStyle w:val="16"/>
        <w:spacing w:line="360" w:lineRule="auto"/>
        <w:ind w:firstLine="480" w:firstLineChars="200"/>
        <w:rPr>
          <w:rFonts w:ascii="宋体" w:hAnsi="宋体"/>
        </w:rPr>
      </w:pPr>
    </w:p>
    <w:p>
      <w:pPr>
        <w:pStyle w:val="16"/>
        <w:snapToGrid w:val="0"/>
        <w:spacing w:line="360" w:lineRule="auto"/>
        <w:ind w:firstLine="482" w:firstLineChars="200"/>
        <w:rPr>
          <w:rFonts w:ascii="宋体" w:hAnsi="宋体" w:cs="黑体"/>
          <w:b/>
          <w:bCs/>
          <w:color w:val="000000"/>
        </w:rPr>
      </w:pPr>
      <w:r>
        <w:rPr>
          <w:rFonts w:hint="eastAsia" w:ascii="宋体" w:hAnsi="宋体" w:cs="黑体"/>
          <w:b/>
          <w:bCs/>
          <w:color w:val="000000"/>
        </w:rPr>
        <w:t>一、董事会会议召开情况</w:t>
      </w:r>
    </w:p>
    <w:p>
      <w:pPr>
        <w:pStyle w:val="16"/>
        <w:snapToGrid w:val="0"/>
        <w:spacing w:line="360" w:lineRule="auto"/>
        <w:ind w:firstLine="480" w:firstLineChars="200"/>
        <w:rPr>
          <w:rFonts w:ascii="宋体" w:hAnsi="宋体"/>
          <w:color w:val="000000"/>
        </w:rPr>
      </w:pPr>
      <w:r>
        <w:rPr>
          <w:rFonts w:hint="eastAsia" w:ascii="宋体" w:hAnsi="宋体"/>
          <w:color w:val="000000"/>
        </w:rPr>
        <w:t>埃夫特智能装备股份有限公司（以下简称“公司”）第二届董事会</w:t>
      </w:r>
      <w:r>
        <w:rPr>
          <w:rFonts w:hint="eastAsia" w:ascii="Times New Roman" w:hAnsi="Times New Roman"/>
          <w:color w:val="000000"/>
        </w:rPr>
        <w:t>第十九次</w:t>
      </w:r>
      <w:r>
        <w:rPr>
          <w:rFonts w:hint="eastAsia" w:ascii="宋体" w:hAnsi="宋体"/>
          <w:color w:val="000000"/>
        </w:rPr>
        <w:t>会议于</w:t>
      </w:r>
      <w:r>
        <w:rPr>
          <w:rFonts w:ascii="Times New Roman" w:hAnsi="Times New Roman"/>
          <w:color w:val="000000"/>
        </w:rPr>
        <w:t>2021</w:t>
      </w:r>
      <w:r>
        <w:rPr>
          <w:rFonts w:hint="eastAsia" w:ascii="宋体" w:hAnsi="宋体"/>
          <w:color w:val="000000"/>
        </w:rPr>
        <w:t>年</w:t>
      </w:r>
      <w:r>
        <w:rPr>
          <w:rFonts w:ascii="Times New Roman" w:hAnsi="Times New Roman"/>
          <w:color w:val="000000"/>
        </w:rPr>
        <w:t>8</w:t>
      </w:r>
      <w:r>
        <w:rPr>
          <w:rFonts w:hint="eastAsia" w:ascii="宋体" w:hAnsi="宋体"/>
          <w:color w:val="000000"/>
        </w:rPr>
        <w:t>月</w:t>
      </w:r>
      <w:r>
        <w:rPr>
          <w:rFonts w:hint="eastAsia" w:ascii="Times New Roman" w:hAnsi="Times New Roman"/>
          <w:color w:val="000000"/>
        </w:rPr>
        <w:t>26</w:t>
      </w:r>
      <w:r>
        <w:rPr>
          <w:rFonts w:hint="eastAsia" w:ascii="宋体" w:hAnsi="宋体"/>
          <w:color w:val="000000"/>
        </w:rPr>
        <w:t>日（星期四）在公司会议室以现场结合通讯的方式召开。会议通知已于</w:t>
      </w:r>
      <w:r>
        <w:rPr>
          <w:rFonts w:hint="eastAsia" w:ascii="Times New Roman" w:hAnsi="Times New Roman"/>
          <w:color w:val="000000"/>
        </w:rPr>
        <w:t>2</w:t>
      </w:r>
      <w:r>
        <w:rPr>
          <w:rFonts w:ascii="Times New Roman" w:hAnsi="Times New Roman"/>
          <w:color w:val="000000"/>
        </w:rPr>
        <w:t>021</w:t>
      </w:r>
      <w:r>
        <w:rPr>
          <w:rFonts w:hint="eastAsia" w:ascii="宋体" w:hAnsi="宋体"/>
          <w:color w:val="000000"/>
        </w:rPr>
        <w:t>年</w:t>
      </w:r>
      <w:r>
        <w:rPr>
          <w:rFonts w:hint="eastAsia" w:ascii="Times New Roman" w:hAnsi="Times New Roman"/>
          <w:color w:val="000000"/>
        </w:rPr>
        <w:t>8</w:t>
      </w:r>
      <w:r>
        <w:rPr>
          <w:rFonts w:hint="eastAsia" w:ascii="宋体" w:hAnsi="宋体"/>
          <w:color w:val="000000"/>
        </w:rPr>
        <w:t>月</w:t>
      </w:r>
      <w:r>
        <w:rPr>
          <w:rFonts w:ascii="Times New Roman" w:hAnsi="Times New Roman" w:cs="Times New Roman"/>
          <w:color w:val="000000"/>
        </w:rPr>
        <w:t>21</w:t>
      </w:r>
      <w:r>
        <w:rPr>
          <w:rFonts w:hint="eastAsia" w:ascii="宋体" w:hAnsi="宋体"/>
          <w:color w:val="000000"/>
        </w:rPr>
        <w:t>日通过邮件的方式送达各位董事。本次会议应出席董事</w:t>
      </w:r>
      <w:r>
        <w:rPr>
          <w:rFonts w:hint="eastAsia" w:ascii="Times New Roman" w:hAnsi="Times New Roman"/>
          <w:color w:val="000000"/>
        </w:rPr>
        <w:t>11</w:t>
      </w:r>
      <w:r>
        <w:rPr>
          <w:rFonts w:hint="eastAsia" w:ascii="宋体" w:hAnsi="宋体"/>
          <w:color w:val="000000"/>
        </w:rPr>
        <w:t>人，实际出席董事</w:t>
      </w:r>
      <w:r>
        <w:rPr>
          <w:rFonts w:hint="eastAsia" w:ascii="Times New Roman" w:hAnsi="Times New Roman"/>
          <w:color w:val="000000"/>
        </w:rPr>
        <w:t>11</w:t>
      </w:r>
      <w:r>
        <w:rPr>
          <w:rFonts w:hint="eastAsia" w:ascii="宋体" w:hAnsi="宋体"/>
          <w:color w:val="000000"/>
        </w:rPr>
        <w:t>人，本次会议由董事长许礼进主持。</w:t>
      </w:r>
    </w:p>
    <w:p>
      <w:pPr>
        <w:pStyle w:val="16"/>
        <w:snapToGrid w:val="0"/>
        <w:spacing w:line="360" w:lineRule="auto"/>
        <w:ind w:firstLine="480" w:firstLineChars="200"/>
        <w:rPr>
          <w:rFonts w:ascii="宋体" w:hAnsi="宋体" w:cs="黑体"/>
          <w:b/>
          <w:bCs/>
          <w:color w:val="000000"/>
        </w:rPr>
      </w:pPr>
      <w:r>
        <w:rPr>
          <w:rFonts w:hint="eastAsia" w:ascii="宋体" w:hAnsi="宋体"/>
          <w:color w:val="000000"/>
        </w:rPr>
        <w:t>本次会议的召集、召开符合法律法规、《埃夫特智能装备股份有限公司章程》及《埃夫特智能装备股份有限公司董事会议事规则》的规定。</w:t>
      </w:r>
    </w:p>
    <w:p>
      <w:pPr>
        <w:pStyle w:val="16"/>
        <w:snapToGrid w:val="0"/>
        <w:spacing w:line="360" w:lineRule="auto"/>
        <w:ind w:firstLine="482" w:firstLineChars="200"/>
        <w:rPr>
          <w:rFonts w:ascii="宋体" w:hAnsi="宋体"/>
          <w:color w:val="000000"/>
          <w:sz w:val="22"/>
          <w:szCs w:val="22"/>
        </w:rPr>
      </w:pPr>
      <w:r>
        <w:rPr>
          <w:rFonts w:hint="eastAsia" w:ascii="宋体" w:hAnsi="宋体" w:cs="黑体"/>
          <w:b/>
          <w:bCs/>
          <w:color w:val="000000"/>
        </w:rPr>
        <w:t>二、董事会会议审议情况</w:t>
      </w:r>
    </w:p>
    <w:p>
      <w:pPr>
        <w:pStyle w:val="16"/>
        <w:snapToGrid w:val="0"/>
        <w:spacing w:line="360" w:lineRule="auto"/>
        <w:ind w:firstLine="480" w:firstLineChars="200"/>
        <w:rPr>
          <w:rFonts w:ascii="宋体" w:hAnsi="宋体"/>
          <w:color w:val="000000"/>
        </w:rPr>
      </w:pPr>
      <w:r>
        <w:rPr>
          <w:rFonts w:hint="eastAsia" w:ascii="宋体" w:hAnsi="宋体"/>
          <w:color w:val="000000"/>
        </w:rPr>
        <w:t>董事会审议通过了下列议案：</w:t>
      </w:r>
    </w:p>
    <w:p>
      <w:pPr>
        <w:pStyle w:val="16"/>
        <w:snapToGrid w:val="0"/>
        <w:spacing w:line="360" w:lineRule="auto"/>
        <w:ind w:firstLine="482" w:firstLineChars="200"/>
        <w:rPr>
          <w:rFonts w:ascii="宋体" w:hAnsi="宋体" w:cs="黑体"/>
          <w:b/>
          <w:bCs/>
          <w:color w:val="000000"/>
        </w:rPr>
      </w:pPr>
      <w:r>
        <w:rPr>
          <w:rFonts w:hint="eastAsia" w:ascii="宋体" w:hAnsi="宋体" w:cs="黑体"/>
          <w:b/>
          <w:bCs/>
          <w:color w:val="000000"/>
        </w:rPr>
        <w:t>（一）《关于公司</w:t>
      </w:r>
      <w:r>
        <w:rPr>
          <w:rFonts w:ascii="Times New Roman" w:hAnsi="Times New Roman" w:cs="Times New Roman"/>
          <w:b/>
          <w:bCs/>
          <w:color w:val="000000"/>
        </w:rPr>
        <w:t>2021</w:t>
      </w:r>
      <w:r>
        <w:rPr>
          <w:rFonts w:hint="eastAsia" w:ascii="宋体" w:hAnsi="宋体" w:cs="黑体"/>
          <w:b/>
          <w:bCs/>
          <w:color w:val="000000"/>
        </w:rPr>
        <w:t>年半年度报告的议案》</w:t>
      </w:r>
    </w:p>
    <w:p>
      <w:pPr>
        <w:pStyle w:val="16"/>
        <w:snapToGrid w:val="0"/>
        <w:spacing w:line="360" w:lineRule="auto"/>
        <w:ind w:firstLine="480" w:firstLineChars="200"/>
        <w:rPr>
          <w:rFonts w:ascii="Times New Roman" w:hAnsi="Times New Roman" w:cs="Times New Roman"/>
        </w:rPr>
      </w:pPr>
      <w:r>
        <w:rPr>
          <w:rFonts w:ascii="Times New Roman" w:hAnsi="Times New Roman" w:cs="Times New Roman"/>
          <w:color w:val="000000"/>
        </w:rPr>
        <w:t>议案内容：</w:t>
      </w:r>
      <w:r>
        <w:rPr>
          <w:rFonts w:ascii="Times New Roman" w:hAnsi="Times New Roman" w:cs="Times New Roman"/>
        </w:rPr>
        <w:t>根据《公开发行证券的公司信息披露内容与格式准则第3号——半年度报告的内容与格式》《上海证券交易所科创板股票上市规则》《埃夫特智能装备股份有限公司信息披露管理办法》的要求公司应当及时披露半年度报告，现公司已编制2021年半年度报告及摘要。</w:t>
      </w:r>
    </w:p>
    <w:p>
      <w:pPr>
        <w:pStyle w:val="16"/>
        <w:snapToGrid w:val="0"/>
        <w:spacing w:line="360" w:lineRule="auto"/>
        <w:ind w:firstLine="480" w:firstLineChars="200"/>
        <w:rPr>
          <w:rFonts w:ascii="Times New Roman" w:hAnsi="Times New Roman" w:cs="Times New Roman"/>
        </w:rPr>
      </w:pPr>
      <w:r>
        <w:rPr>
          <w:rFonts w:ascii="Times New Roman" w:hAnsi="Times New Roman" w:cs="Times New Roman"/>
        </w:rPr>
        <w:t>具体内容详见公司于同日披露在上海证券交易所网站（</w:t>
      </w:r>
      <w:r>
        <w:fldChar w:fldCharType="begin"/>
      </w:r>
      <w:r>
        <w:instrText xml:space="preserve"> HYPERLINK "http://www.sse.com.cn）的《埃夫特关于预计2021年度日常关联交易及对2020" </w:instrText>
      </w:r>
      <w:r>
        <w:fldChar w:fldCharType="separate"/>
      </w:r>
      <w:r>
        <w:rPr>
          <w:rFonts w:ascii="Times New Roman" w:hAnsi="Times New Roman" w:cs="Times New Roman"/>
        </w:rPr>
        <w:t>www.sse.com.cn）的《埃夫特2021年半年度报告》</w:t>
      </w:r>
      <w:r>
        <w:rPr>
          <w:rFonts w:ascii="Times New Roman" w:hAnsi="Times New Roman" w:cs="Times New Roman"/>
        </w:rPr>
        <w:fldChar w:fldCharType="end"/>
      </w:r>
      <w:r>
        <w:rPr>
          <w:rFonts w:ascii="Times New Roman" w:hAnsi="Times New Roman" w:cs="Times New Roman"/>
        </w:rPr>
        <w:t>及</w:t>
      </w:r>
      <w:r>
        <w:rPr>
          <w:rFonts w:hint="eastAsia" w:ascii="Times New Roman" w:hAnsi="Times New Roman" w:cs="Times New Roman"/>
        </w:rPr>
        <w:t>《</w:t>
      </w:r>
      <w:r>
        <w:rPr>
          <w:rFonts w:ascii="Times New Roman" w:hAnsi="Times New Roman" w:cs="Times New Roman"/>
        </w:rPr>
        <w:t>埃夫特2021年半年度报告</w:t>
      </w:r>
      <w:r>
        <w:rPr>
          <w:rFonts w:hint="eastAsia" w:ascii="Times New Roman" w:hAnsi="Times New Roman" w:cs="Times New Roman"/>
        </w:rPr>
        <w:t>摘要》</w:t>
      </w:r>
      <w:r>
        <w:rPr>
          <w:rFonts w:ascii="Times New Roman" w:hAnsi="Times New Roman" w:cs="Times New Roman"/>
        </w:rPr>
        <w:t>。</w:t>
      </w:r>
    </w:p>
    <w:p>
      <w:pPr>
        <w:pStyle w:val="16"/>
        <w:snapToGrid w:val="0"/>
        <w:spacing w:line="360" w:lineRule="auto"/>
        <w:ind w:firstLine="480" w:firstLineChars="200"/>
        <w:rPr>
          <w:rFonts w:ascii="Times New Roman" w:hAnsi="Times New Roman" w:cs="Times New Roman"/>
        </w:rPr>
      </w:pPr>
      <w:r>
        <w:rPr>
          <w:rFonts w:ascii="Times New Roman" w:hAnsi="Times New Roman" w:cs="Times New Roman"/>
        </w:rPr>
        <w:t>议案表决情况：有效表决票11票，同意11票；反对 0 票；弃权 0 票。</w:t>
      </w:r>
    </w:p>
    <w:p>
      <w:pPr>
        <w:pStyle w:val="16"/>
        <w:snapToGrid w:val="0"/>
        <w:spacing w:line="360" w:lineRule="auto"/>
        <w:ind w:firstLine="482" w:firstLineChars="200"/>
        <w:rPr>
          <w:rFonts w:ascii="Times New Roman" w:hAnsi="Times New Roman" w:cs="Times New Roman"/>
          <w:b/>
          <w:bCs/>
        </w:rPr>
      </w:pPr>
      <w:r>
        <w:rPr>
          <w:rFonts w:hint="eastAsia" w:ascii="Times New Roman" w:hAnsi="Times New Roman" w:cs="Times New Roman"/>
          <w:b/>
          <w:bCs/>
        </w:rPr>
        <w:t>（二）</w:t>
      </w:r>
      <w:r>
        <w:rPr>
          <w:rFonts w:ascii="Times New Roman" w:hAnsi="Times New Roman" w:cs="Times New Roman"/>
          <w:b/>
          <w:bCs/>
        </w:rPr>
        <w:t>《关于公司2021年半年度募集资金存放与</w:t>
      </w:r>
      <w:r>
        <w:rPr>
          <w:rFonts w:hint="eastAsia" w:ascii="Times New Roman" w:hAnsi="Times New Roman" w:cs="Times New Roman"/>
          <w:b/>
          <w:bCs/>
        </w:rPr>
        <w:t>实际</w:t>
      </w:r>
      <w:r>
        <w:rPr>
          <w:rFonts w:ascii="Times New Roman" w:hAnsi="Times New Roman" w:cs="Times New Roman"/>
          <w:b/>
          <w:bCs/>
        </w:rPr>
        <w:t>使用情况的议案》</w:t>
      </w:r>
    </w:p>
    <w:p>
      <w:pPr>
        <w:spacing w:line="360" w:lineRule="auto"/>
        <w:ind w:firstLine="480" w:firstLineChars="200"/>
        <w:rPr>
          <w:sz w:val="24"/>
        </w:rPr>
      </w:pPr>
      <w:r>
        <w:rPr>
          <w:sz w:val="24"/>
        </w:rPr>
        <w:t>议案内容：按照有关规定，公司严格规范募集资金的使用与管理，保护投资者权益，提高募集资金使用效益，公司依照《上海证券交易所科创板股票上市规则》《</w:t>
      </w:r>
      <w:r>
        <w:rPr>
          <w:rFonts w:hint="eastAsia"/>
          <w:sz w:val="24"/>
        </w:rPr>
        <w:t>上海证券交易所科创板上市公司自律监管规则适用指引第1号——规范运作</w:t>
      </w:r>
      <w:r>
        <w:rPr>
          <w:sz w:val="24"/>
        </w:rPr>
        <w:t>》以及中国证监会相关文件的规定，对募集资金采用专户存储管理，并严格履行使用审批手续，对募集资金的管理和使用进行监督。现公司董事会就2021年半年度募集资金的存放与实际使用情况拟定了专项报告。</w:t>
      </w:r>
    </w:p>
    <w:p>
      <w:pPr>
        <w:pStyle w:val="16"/>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具体内容详见公司于同日披露在上海证券交易所网站（</w:t>
      </w:r>
      <w:r>
        <w:fldChar w:fldCharType="begin"/>
      </w:r>
      <w:r>
        <w:instrText xml:space="preserve"> HYPERLINK "http://www.sse.com.cn）的《埃夫特关于预计2021年度日常关联交易及对2020" </w:instrText>
      </w:r>
      <w:r>
        <w:fldChar w:fldCharType="separate"/>
      </w:r>
      <w:r>
        <w:rPr>
          <w:rFonts w:ascii="Times New Roman" w:hAnsi="Times New Roman" w:cs="Times New Roman"/>
          <w:color w:val="000000"/>
        </w:rPr>
        <w:t>www.sse.com.cn）的《埃夫特2021年</w:t>
      </w:r>
      <w:r>
        <w:rPr>
          <w:rFonts w:ascii="Times New Roman" w:hAnsi="Times New Roman" w:cs="Times New Roman"/>
        </w:rPr>
        <w:t>半年度募集资金存放与使用情况的专项报告</w:t>
      </w:r>
      <w:r>
        <w:rPr>
          <w:rFonts w:ascii="Times New Roman" w:hAnsi="Times New Roman" w:cs="Times New Roman"/>
          <w:color w:val="000000"/>
        </w:rPr>
        <w:t>》</w:t>
      </w:r>
      <w:r>
        <w:rPr>
          <w:rFonts w:ascii="Times New Roman" w:hAnsi="Times New Roman" w:cs="Times New Roman"/>
          <w:color w:val="000000"/>
        </w:rPr>
        <w:fldChar w:fldCharType="end"/>
      </w:r>
      <w:r>
        <w:rPr>
          <w:rFonts w:ascii="Times New Roman" w:hAnsi="Times New Roman" w:cs="Times New Roman"/>
          <w:color w:val="000000"/>
        </w:rPr>
        <w:t>（公告编号：2021-0</w:t>
      </w:r>
      <w:r>
        <w:rPr>
          <w:rFonts w:hint="eastAsia" w:ascii="Times New Roman" w:hAnsi="Times New Roman" w:cs="Times New Roman"/>
          <w:color w:val="000000"/>
          <w:lang w:val="en-US" w:eastAsia="zh-CN"/>
        </w:rPr>
        <w:t>40</w:t>
      </w:r>
      <w:r>
        <w:rPr>
          <w:rFonts w:ascii="Times New Roman" w:hAnsi="Times New Roman" w:cs="Times New Roman"/>
          <w:color w:val="000000"/>
        </w:rPr>
        <w:t>）。</w:t>
      </w:r>
    </w:p>
    <w:p>
      <w:pPr>
        <w:pStyle w:val="16"/>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议案表决情况：有效表决票11票，同意11票；反对 0 票；弃权 0 票。</w:t>
      </w:r>
    </w:p>
    <w:p>
      <w:pPr>
        <w:pStyle w:val="16"/>
        <w:snapToGrid w:val="0"/>
        <w:spacing w:line="360" w:lineRule="auto"/>
        <w:ind w:firstLine="480" w:firstLineChars="200"/>
        <w:rPr>
          <w:rFonts w:ascii="Times New Roman" w:hAnsi="Times New Roman" w:cs="Times New Roman"/>
        </w:rPr>
      </w:pPr>
      <w:r>
        <w:rPr>
          <w:rFonts w:ascii="Times New Roman" w:hAnsi="Times New Roman" w:cs="Times New Roman"/>
          <w:color w:val="000000"/>
        </w:rPr>
        <w:t>公司独立董事就本议案发表了同意的独立意见。</w:t>
      </w:r>
    </w:p>
    <w:p>
      <w:pPr>
        <w:pStyle w:val="16"/>
        <w:snapToGrid w:val="0"/>
        <w:spacing w:line="360" w:lineRule="auto"/>
        <w:ind w:firstLine="482" w:firstLineChars="200"/>
        <w:rPr>
          <w:rFonts w:ascii="宋体" w:hAnsi="宋体"/>
          <w:color w:val="000000"/>
        </w:rPr>
      </w:pPr>
      <w:r>
        <w:rPr>
          <w:rFonts w:hint="eastAsia" w:ascii="宋体" w:hAnsi="宋体" w:cs="黑体"/>
          <w:b/>
          <w:bCs/>
          <w:color w:val="000000"/>
        </w:rPr>
        <w:t>（三）《关于调整</w:t>
      </w:r>
      <w:r>
        <w:rPr>
          <w:rFonts w:hint="eastAsia" w:ascii="Times New Roman" w:hAnsi="Times New Roman" w:cs="黑体"/>
          <w:b/>
          <w:bCs/>
          <w:color w:val="000000"/>
        </w:rPr>
        <w:t>2021</w:t>
      </w:r>
      <w:r>
        <w:rPr>
          <w:rFonts w:hint="eastAsia" w:ascii="宋体" w:hAnsi="宋体" w:cs="黑体"/>
          <w:b/>
          <w:bCs/>
          <w:color w:val="000000"/>
        </w:rPr>
        <w:t>年限制性股票激励计划激励对象首次授予名单、授予及预留权益数量的议案</w:t>
      </w:r>
      <w:r>
        <w:rPr>
          <w:rFonts w:hint="eastAsia" w:ascii="黑体" w:hAnsi="黑体" w:eastAsia="黑体" w:cs="黑体"/>
          <w:b/>
          <w:bCs/>
          <w:color w:val="000000"/>
        </w:rPr>
        <w:t>》</w:t>
      </w:r>
      <w:r>
        <w:rPr>
          <w:rFonts w:hint="eastAsia" w:ascii="宋体" w:hAnsi="宋体"/>
          <w:color w:val="000000"/>
        </w:rPr>
        <w:t xml:space="preserve"> </w:t>
      </w:r>
    </w:p>
    <w:p>
      <w:pPr>
        <w:pStyle w:val="16"/>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议案内容</w:t>
      </w:r>
      <w:bookmarkStart w:id="0" w:name="_Hlk78299409"/>
      <w:r>
        <w:rPr>
          <w:rFonts w:ascii="Times New Roman" w:hAnsi="Times New Roman" w:cs="Times New Roman"/>
          <w:color w:val="000000"/>
        </w:rPr>
        <w:t>：根据公司《2021年限制性股票激励计划（草案）》</w:t>
      </w:r>
      <w:bookmarkStart w:id="1" w:name="_Hlk78299200"/>
      <w:r>
        <w:rPr>
          <w:rFonts w:ascii="Times New Roman" w:hAnsi="Times New Roman" w:cs="Times New Roman"/>
          <w:color w:val="000000"/>
        </w:rPr>
        <w:t>本次激励计划首次授予部分的激励对象为共计不超过100人</w:t>
      </w:r>
      <w:bookmarkEnd w:id="1"/>
      <w:r>
        <w:rPr>
          <w:rFonts w:ascii="Times New Roman" w:hAnsi="Times New Roman" w:cs="Times New Roman"/>
          <w:color w:val="000000"/>
        </w:rPr>
        <w:t>，现因激励对象冯海生等人员离职原因，公司董事会最终确认</w:t>
      </w:r>
      <w:bookmarkStart w:id="2" w:name="_Hlk78299287"/>
      <w:r>
        <w:rPr>
          <w:rFonts w:ascii="Times New Roman" w:hAnsi="Times New Roman" w:cs="Times New Roman"/>
          <w:color w:val="000000"/>
        </w:rPr>
        <w:t>首次授予激励对象人数为94人</w:t>
      </w:r>
      <w:bookmarkEnd w:id="0"/>
      <w:bookmarkEnd w:id="2"/>
      <w:r>
        <w:rPr>
          <w:rFonts w:ascii="Times New Roman" w:hAnsi="Times New Roman" w:cs="Times New Roman"/>
          <w:color w:val="000000"/>
        </w:rPr>
        <w:t>，因此董事会拟将部分首次授予的权益数量调整到本次激励计划预留的权益数量中。</w:t>
      </w:r>
    </w:p>
    <w:p>
      <w:pPr>
        <w:pStyle w:val="16"/>
        <w:snapToGrid w:val="0"/>
        <w:spacing w:line="360" w:lineRule="auto"/>
        <w:ind w:firstLine="480" w:firstLineChars="200"/>
        <w:rPr>
          <w:rFonts w:ascii="宋体" w:hAnsi="宋体"/>
          <w:color w:val="000000"/>
        </w:rPr>
      </w:pPr>
      <w:r>
        <w:rPr>
          <w:rFonts w:ascii="Times New Roman" w:hAnsi="Times New Roman" w:cs="Times New Roman"/>
          <w:color w:val="000000"/>
        </w:rPr>
        <w:t>公司董事会根据股东大会的授权，对本次激励计划激励对象首次授予名单、授予及预留权益数量进行调整。本次调整后，本激励计划首次授予人数最终确认为94人，首次授予限制性股票数量1172.8万股调整为</w:t>
      </w:r>
      <w:bookmarkStart w:id="3" w:name="_Hlk78207622"/>
      <w:r>
        <w:rPr>
          <w:rFonts w:ascii="Times New Roman" w:hAnsi="Times New Roman" w:cs="Times New Roman"/>
          <w:color w:val="000000"/>
        </w:rPr>
        <w:t>1160.5万股</w:t>
      </w:r>
      <w:bookmarkEnd w:id="3"/>
      <w:r>
        <w:rPr>
          <w:rFonts w:ascii="Times New Roman" w:hAnsi="Times New Roman" w:cs="Times New Roman"/>
          <w:color w:val="000000"/>
        </w:rPr>
        <w:t>；预留的限制性股票数量由252.2万股调整为264.5万股。</w:t>
      </w:r>
    </w:p>
    <w:p>
      <w:pPr>
        <w:pStyle w:val="16"/>
        <w:snapToGrid w:val="0"/>
        <w:spacing w:line="360" w:lineRule="auto"/>
        <w:ind w:firstLine="480" w:firstLineChars="200"/>
        <w:rPr>
          <w:rFonts w:ascii="宋体" w:hAnsi="宋体"/>
          <w:color w:val="000000"/>
        </w:rPr>
      </w:pPr>
      <w:r>
        <w:rPr>
          <w:rFonts w:hint="eastAsia" w:ascii="宋体" w:hAnsi="宋体"/>
          <w:color w:val="000000"/>
        </w:rPr>
        <w:t>具体内容详见公司于同日披露在上海证券交易所网站（</w:t>
      </w:r>
      <w:r>
        <w:fldChar w:fldCharType="begin"/>
      </w:r>
      <w:r>
        <w:instrText xml:space="preserve"> HYPERLINK "http://www.sse.com.cn）的《埃夫特关于预计2021年度日常关联交易及对2020" </w:instrText>
      </w:r>
      <w:r>
        <w:fldChar w:fldCharType="separate"/>
      </w:r>
      <w:r>
        <w:rPr>
          <w:rFonts w:hint="eastAsia" w:ascii="Times New Roman" w:hAnsi="Times New Roman"/>
          <w:color w:val="000000"/>
        </w:rPr>
        <w:t>w</w:t>
      </w:r>
      <w:r>
        <w:rPr>
          <w:rFonts w:ascii="Times New Roman" w:hAnsi="Times New Roman"/>
          <w:color w:val="000000"/>
        </w:rPr>
        <w:t>ww</w:t>
      </w:r>
      <w:r>
        <w:rPr>
          <w:rFonts w:ascii="宋体" w:hAnsi="宋体"/>
          <w:color w:val="000000"/>
        </w:rPr>
        <w:t>.</w:t>
      </w:r>
      <w:r>
        <w:rPr>
          <w:rFonts w:ascii="Times New Roman" w:hAnsi="Times New Roman"/>
          <w:color w:val="000000"/>
        </w:rPr>
        <w:t>sse</w:t>
      </w:r>
      <w:r>
        <w:rPr>
          <w:rFonts w:ascii="宋体" w:hAnsi="宋体"/>
          <w:color w:val="000000"/>
        </w:rPr>
        <w:t>.</w:t>
      </w:r>
      <w:r>
        <w:rPr>
          <w:rFonts w:ascii="Times New Roman" w:hAnsi="Times New Roman"/>
          <w:color w:val="000000"/>
        </w:rPr>
        <w:t>com</w:t>
      </w:r>
      <w:r>
        <w:rPr>
          <w:rFonts w:ascii="宋体" w:hAnsi="宋体"/>
          <w:color w:val="000000"/>
        </w:rPr>
        <w:t>.</w:t>
      </w:r>
      <w:r>
        <w:rPr>
          <w:rFonts w:ascii="Times New Roman" w:hAnsi="Times New Roman"/>
          <w:color w:val="000000"/>
        </w:rPr>
        <w:t>cn</w:t>
      </w:r>
      <w:r>
        <w:rPr>
          <w:rFonts w:hint="eastAsia" w:ascii="宋体" w:hAnsi="宋体"/>
          <w:color w:val="000000"/>
        </w:rPr>
        <w:t>）的《埃夫特</w:t>
      </w:r>
      <w:r>
        <w:rPr>
          <w:rFonts w:hint="eastAsia" w:ascii="Times New Roman" w:hAnsi="Times New Roman" w:cs="Times New Roman"/>
          <w:color w:val="000000"/>
        </w:rPr>
        <w:t>关于调整2021年限制性股票激励计划激励对象首次授予名单、授予及预留权益数量的公告</w:t>
      </w:r>
      <w:r>
        <w:rPr>
          <w:rFonts w:hint="eastAsia" w:ascii="宋体" w:hAnsi="宋体"/>
          <w:color w:val="000000"/>
        </w:rPr>
        <w:t>》</w:t>
      </w:r>
      <w:r>
        <w:rPr>
          <w:rFonts w:hint="eastAsia" w:ascii="宋体" w:hAnsi="宋体"/>
          <w:color w:val="000000"/>
        </w:rPr>
        <w:fldChar w:fldCharType="end"/>
      </w:r>
      <w:r>
        <w:rPr>
          <w:rFonts w:hint="eastAsia" w:ascii="宋体" w:hAnsi="宋体"/>
          <w:color w:val="000000"/>
        </w:rPr>
        <w:t>（公告编号：</w:t>
      </w:r>
      <w:r>
        <w:rPr>
          <w:rFonts w:hint="eastAsia" w:ascii="Times New Roman" w:hAnsi="Times New Roman"/>
          <w:color w:val="000000"/>
        </w:rPr>
        <w:t>2</w:t>
      </w:r>
      <w:r>
        <w:rPr>
          <w:rFonts w:ascii="Times New Roman" w:hAnsi="Times New Roman"/>
          <w:color w:val="000000"/>
        </w:rPr>
        <w:t>021</w:t>
      </w:r>
      <w:r>
        <w:rPr>
          <w:rFonts w:hint="eastAsia" w:ascii="宋体" w:hAnsi="宋体"/>
          <w:color w:val="000000"/>
        </w:rPr>
        <w:t>-</w:t>
      </w:r>
      <w:r>
        <w:rPr>
          <w:rFonts w:ascii="Times New Roman" w:hAnsi="Times New Roman"/>
          <w:color w:val="000000"/>
        </w:rPr>
        <w:t>0</w:t>
      </w:r>
      <w:r>
        <w:rPr>
          <w:rFonts w:hint="eastAsia" w:ascii="Times New Roman" w:hAnsi="Times New Roman"/>
          <w:color w:val="000000"/>
          <w:lang w:val="en-US" w:eastAsia="zh-CN"/>
        </w:rPr>
        <w:t>35</w:t>
      </w:r>
      <w:r>
        <w:rPr>
          <w:rFonts w:hint="eastAsia" w:ascii="宋体" w:hAnsi="宋体"/>
          <w:color w:val="000000"/>
        </w:rPr>
        <w:t>）。</w:t>
      </w:r>
    </w:p>
    <w:p>
      <w:pPr>
        <w:pStyle w:val="16"/>
        <w:snapToGrid w:val="0"/>
        <w:spacing w:line="360" w:lineRule="auto"/>
        <w:ind w:firstLine="480" w:firstLineChars="200"/>
        <w:rPr>
          <w:rFonts w:ascii="宋体" w:hAnsi="宋体"/>
          <w:color w:val="000000"/>
        </w:rPr>
      </w:pPr>
      <w:r>
        <w:rPr>
          <w:rFonts w:hint="eastAsia" w:ascii="宋体" w:hAnsi="宋体"/>
          <w:color w:val="000000"/>
        </w:rPr>
        <w:t>议案表决情况：有效表决票</w:t>
      </w:r>
      <w:r>
        <w:rPr>
          <w:rFonts w:hint="eastAsia" w:ascii="Times New Roman" w:hAnsi="Times New Roman"/>
          <w:color w:val="000000"/>
        </w:rPr>
        <w:t>9</w:t>
      </w:r>
      <w:r>
        <w:rPr>
          <w:rFonts w:hint="eastAsia" w:ascii="宋体" w:hAnsi="宋体"/>
          <w:color w:val="000000"/>
        </w:rPr>
        <w:t>票，同意</w:t>
      </w:r>
      <w:r>
        <w:rPr>
          <w:rFonts w:hint="eastAsia" w:ascii="Times New Roman" w:hAnsi="Times New Roman"/>
          <w:color w:val="000000"/>
        </w:rPr>
        <w:t>9</w:t>
      </w:r>
      <w:r>
        <w:rPr>
          <w:rFonts w:hint="eastAsia" w:ascii="宋体" w:hAnsi="宋体"/>
          <w:color w:val="000000"/>
        </w:rPr>
        <w:t xml:space="preserve">票；反对 </w:t>
      </w:r>
      <w:r>
        <w:rPr>
          <w:rFonts w:hint="eastAsia" w:ascii="Times New Roman" w:hAnsi="Times New Roman"/>
          <w:color w:val="000000"/>
        </w:rPr>
        <w:t>0</w:t>
      </w:r>
      <w:r>
        <w:rPr>
          <w:rFonts w:hint="eastAsia" w:ascii="宋体" w:hAnsi="宋体"/>
          <w:color w:val="000000"/>
        </w:rPr>
        <w:t xml:space="preserve"> 票；弃权 </w:t>
      </w:r>
      <w:r>
        <w:rPr>
          <w:rFonts w:hint="eastAsia" w:ascii="Times New Roman" w:hAnsi="Times New Roman"/>
          <w:color w:val="000000"/>
        </w:rPr>
        <w:t>0</w:t>
      </w:r>
      <w:r>
        <w:rPr>
          <w:rFonts w:hint="eastAsia" w:ascii="宋体" w:hAnsi="宋体"/>
          <w:color w:val="000000"/>
        </w:rPr>
        <w:t xml:space="preserve"> 票；回避</w:t>
      </w:r>
      <w:r>
        <w:rPr>
          <w:rFonts w:hint="eastAsia" w:ascii="Times New Roman" w:hAnsi="Times New Roman"/>
          <w:color w:val="000000"/>
        </w:rPr>
        <w:t>2</w:t>
      </w:r>
      <w:r>
        <w:rPr>
          <w:rFonts w:hint="eastAsia" w:ascii="宋体" w:hAnsi="宋体"/>
          <w:color w:val="000000"/>
        </w:rPr>
        <w:t>票。</w:t>
      </w:r>
    </w:p>
    <w:p>
      <w:pPr>
        <w:pStyle w:val="16"/>
        <w:snapToGrid w:val="0"/>
        <w:spacing w:line="360" w:lineRule="auto"/>
        <w:ind w:firstLine="480" w:firstLineChars="200"/>
        <w:rPr>
          <w:rFonts w:ascii="宋体" w:hAnsi="宋体"/>
          <w:color w:val="000000"/>
        </w:rPr>
      </w:pPr>
      <w:r>
        <w:rPr>
          <w:rFonts w:hint="eastAsia" w:ascii="宋体" w:hAnsi="宋体"/>
          <w:color w:val="000000"/>
        </w:rPr>
        <w:t>关联董事许礼进、游玮回避表决。</w:t>
      </w:r>
    </w:p>
    <w:p>
      <w:pPr>
        <w:pStyle w:val="16"/>
        <w:snapToGrid w:val="0"/>
        <w:spacing w:line="360" w:lineRule="auto"/>
        <w:ind w:firstLine="480" w:firstLineChars="200"/>
        <w:rPr>
          <w:rFonts w:ascii="宋体" w:hAnsi="宋体"/>
          <w:color w:val="000000"/>
        </w:rPr>
      </w:pPr>
      <w:r>
        <w:rPr>
          <w:rFonts w:hint="eastAsia" w:ascii="宋体" w:hAnsi="宋体"/>
          <w:color w:val="000000"/>
        </w:rPr>
        <w:t>公司独立董事就本议案发表了同意的独立意见。</w:t>
      </w:r>
    </w:p>
    <w:p>
      <w:pPr>
        <w:pStyle w:val="16"/>
        <w:snapToGrid w:val="0"/>
        <w:spacing w:line="360" w:lineRule="auto"/>
        <w:ind w:firstLine="482" w:firstLineChars="200"/>
        <w:rPr>
          <w:rFonts w:ascii="宋体" w:hAnsi="宋体"/>
          <w:color w:val="000000"/>
        </w:rPr>
      </w:pPr>
      <w:r>
        <w:rPr>
          <w:rFonts w:hint="eastAsia" w:ascii="宋体" w:hAnsi="宋体" w:cs="黑体"/>
          <w:b/>
          <w:bCs/>
          <w:color w:val="000000"/>
        </w:rPr>
        <w:t>（四）《关于向激励对象首次授予限制性股票的议案</w:t>
      </w:r>
      <w:r>
        <w:rPr>
          <w:rFonts w:hint="eastAsia" w:ascii="黑体" w:hAnsi="黑体" w:eastAsia="黑体" w:cs="黑体"/>
          <w:b/>
          <w:bCs/>
          <w:color w:val="000000"/>
        </w:rPr>
        <w:t>》</w:t>
      </w:r>
      <w:r>
        <w:rPr>
          <w:rFonts w:hint="eastAsia" w:ascii="宋体" w:hAnsi="宋体"/>
          <w:color w:val="000000"/>
        </w:rPr>
        <w:t xml:space="preserve"> </w:t>
      </w:r>
    </w:p>
    <w:p>
      <w:pPr>
        <w:pStyle w:val="16"/>
        <w:snapToGrid w:val="0"/>
        <w:spacing w:line="360" w:lineRule="auto"/>
        <w:ind w:firstLine="480" w:firstLineChars="200"/>
        <w:rPr>
          <w:rFonts w:ascii="宋体" w:hAnsi="宋体"/>
          <w:color w:val="000000"/>
        </w:rPr>
      </w:pPr>
      <w:r>
        <w:rPr>
          <w:rFonts w:hint="eastAsia" w:ascii="宋体" w:hAnsi="宋体"/>
          <w:color w:val="000000"/>
        </w:rPr>
        <w:t>议案内容：</w:t>
      </w:r>
      <w:r>
        <w:rPr>
          <w:rFonts w:ascii="Times New Roman" w:hAnsi="Times New Roman" w:cs="Times New Roman"/>
          <w:color w:val="000000"/>
        </w:rPr>
        <w:t>根据《上市公司股权激励管理办法》和公司《2021年限制性股票激励计划（草案）》的相关规定，公司2021年限制性股票激励计划规定的授予条件已经成就，同意以2021年8月26日为首次授予日，授予价格6.89元/股，向94名激励对象授予限制性股票1160.5万股。</w:t>
      </w:r>
    </w:p>
    <w:p>
      <w:pPr>
        <w:pStyle w:val="16"/>
        <w:snapToGrid w:val="0"/>
        <w:spacing w:line="360" w:lineRule="auto"/>
        <w:ind w:firstLine="480" w:firstLineChars="200"/>
        <w:rPr>
          <w:rFonts w:ascii="宋体" w:hAnsi="宋体"/>
          <w:color w:val="000000"/>
        </w:rPr>
      </w:pPr>
      <w:r>
        <w:rPr>
          <w:rFonts w:hint="eastAsia" w:ascii="宋体" w:hAnsi="宋体"/>
          <w:color w:val="000000"/>
        </w:rPr>
        <w:t>具体内容详见公司于同日披露在上海证券交易所网站（</w:t>
      </w:r>
      <w:r>
        <w:rPr>
          <w:rFonts w:ascii="Times New Roman" w:hAnsi="Times New Roman" w:cs="Times New Roman"/>
          <w:color w:val="000000"/>
        </w:rPr>
        <w:t>www.sse.com.cn）</w:t>
      </w:r>
      <w:r>
        <w:rPr>
          <w:rFonts w:hint="eastAsia" w:ascii="宋体" w:hAnsi="宋体"/>
          <w:color w:val="000000"/>
        </w:rPr>
        <w:t>的《埃夫特关于向激励对象首次授予限制性股票的公告》</w:t>
      </w:r>
      <w:r>
        <w:rPr>
          <w:rFonts w:ascii="Times New Roman" w:hAnsi="Times New Roman" w:cs="Times New Roman"/>
          <w:color w:val="000000"/>
        </w:rPr>
        <w:t>（公告编号：2021-0</w:t>
      </w:r>
      <w:r>
        <w:rPr>
          <w:rFonts w:hint="eastAsia" w:ascii="Times New Roman" w:hAnsi="Times New Roman" w:cs="Times New Roman"/>
          <w:color w:val="000000"/>
          <w:lang w:val="en-US" w:eastAsia="zh-CN"/>
        </w:rPr>
        <w:t>36</w:t>
      </w:r>
      <w:bookmarkStart w:id="4" w:name="_GoBack"/>
      <w:bookmarkEnd w:id="4"/>
      <w:r>
        <w:rPr>
          <w:rFonts w:ascii="Times New Roman" w:hAnsi="Times New Roman" w:cs="Times New Roman"/>
          <w:color w:val="000000"/>
        </w:rPr>
        <w:t>）</w:t>
      </w:r>
      <w:r>
        <w:rPr>
          <w:rFonts w:hint="eastAsia" w:ascii="宋体" w:hAnsi="宋体"/>
          <w:color w:val="000000"/>
        </w:rPr>
        <w:t>。</w:t>
      </w:r>
    </w:p>
    <w:p>
      <w:pPr>
        <w:pStyle w:val="16"/>
        <w:snapToGrid w:val="0"/>
        <w:spacing w:line="360" w:lineRule="auto"/>
        <w:ind w:firstLine="480" w:firstLineChars="200"/>
        <w:rPr>
          <w:rFonts w:ascii="宋体" w:hAnsi="宋体"/>
          <w:color w:val="000000"/>
        </w:rPr>
      </w:pPr>
      <w:r>
        <w:rPr>
          <w:rFonts w:hint="eastAsia" w:ascii="宋体" w:hAnsi="宋体"/>
          <w:color w:val="000000"/>
        </w:rPr>
        <w:t>议案表决情况：有效表决票</w:t>
      </w:r>
      <w:r>
        <w:rPr>
          <w:rFonts w:hint="eastAsia" w:ascii="Times New Roman" w:hAnsi="Times New Roman"/>
          <w:color w:val="000000"/>
        </w:rPr>
        <w:t>9</w:t>
      </w:r>
      <w:r>
        <w:rPr>
          <w:rFonts w:hint="eastAsia" w:ascii="宋体" w:hAnsi="宋体"/>
          <w:color w:val="000000"/>
        </w:rPr>
        <w:t>票，同意</w:t>
      </w:r>
      <w:r>
        <w:rPr>
          <w:rFonts w:hint="eastAsia" w:ascii="Times New Roman" w:hAnsi="Times New Roman"/>
          <w:color w:val="000000"/>
        </w:rPr>
        <w:t>9</w:t>
      </w:r>
      <w:r>
        <w:rPr>
          <w:rFonts w:hint="eastAsia" w:ascii="宋体" w:hAnsi="宋体"/>
          <w:color w:val="000000"/>
        </w:rPr>
        <w:t xml:space="preserve">票；反对 </w:t>
      </w:r>
      <w:r>
        <w:rPr>
          <w:rFonts w:hint="eastAsia" w:ascii="Times New Roman" w:hAnsi="Times New Roman"/>
          <w:color w:val="000000"/>
        </w:rPr>
        <w:t>0</w:t>
      </w:r>
      <w:r>
        <w:rPr>
          <w:rFonts w:hint="eastAsia" w:ascii="宋体" w:hAnsi="宋体"/>
          <w:color w:val="000000"/>
        </w:rPr>
        <w:t xml:space="preserve"> 票；弃权 </w:t>
      </w:r>
      <w:r>
        <w:rPr>
          <w:rFonts w:hint="eastAsia" w:ascii="Times New Roman" w:hAnsi="Times New Roman"/>
          <w:color w:val="000000"/>
        </w:rPr>
        <w:t>0</w:t>
      </w:r>
      <w:r>
        <w:rPr>
          <w:rFonts w:hint="eastAsia" w:ascii="宋体" w:hAnsi="宋体"/>
          <w:color w:val="000000"/>
        </w:rPr>
        <w:t xml:space="preserve"> 票；回避</w:t>
      </w:r>
      <w:r>
        <w:rPr>
          <w:rFonts w:ascii="Times New Roman" w:hAnsi="Times New Roman" w:cs="Times New Roman"/>
          <w:color w:val="000000"/>
        </w:rPr>
        <w:t>2票。</w:t>
      </w:r>
    </w:p>
    <w:p>
      <w:pPr>
        <w:pStyle w:val="16"/>
        <w:snapToGrid w:val="0"/>
        <w:spacing w:line="360" w:lineRule="auto"/>
        <w:ind w:firstLine="480" w:firstLineChars="200"/>
        <w:rPr>
          <w:rFonts w:ascii="宋体" w:hAnsi="宋体"/>
          <w:color w:val="000000"/>
        </w:rPr>
      </w:pPr>
      <w:r>
        <w:rPr>
          <w:rFonts w:hint="eastAsia" w:ascii="宋体" w:hAnsi="宋体"/>
          <w:color w:val="000000"/>
        </w:rPr>
        <w:t>关联董事许礼进、游玮回避表决。</w:t>
      </w:r>
    </w:p>
    <w:p>
      <w:pPr>
        <w:pStyle w:val="16"/>
        <w:snapToGrid w:val="0"/>
        <w:spacing w:line="360" w:lineRule="auto"/>
        <w:ind w:firstLine="480" w:firstLineChars="200"/>
        <w:rPr>
          <w:rFonts w:ascii="宋体" w:hAnsi="宋体"/>
          <w:color w:val="000000"/>
        </w:rPr>
      </w:pPr>
      <w:r>
        <w:rPr>
          <w:rFonts w:hint="eastAsia" w:ascii="宋体" w:hAnsi="宋体"/>
          <w:color w:val="000000"/>
        </w:rPr>
        <w:t>公司独立董事就本议案发表了同意的独立意见。</w:t>
      </w:r>
    </w:p>
    <w:p>
      <w:pPr>
        <w:spacing w:line="360" w:lineRule="auto"/>
        <w:ind w:firstLine="480" w:firstLineChars="200"/>
        <w:rPr>
          <w:rFonts w:ascii="宋体" w:hAnsi="宋体"/>
          <w:sz w:val="24"/>
        </w:rPr>
      </w:pPr>
      <w:r>
        <w:rPr>
          <w:rFonts w:hint="eastAsia" w:ascii="宋体" w:hAnsi="宋体"/>
          <w:sz w:val="24"/>
        </w:rPr>
        <w:t>特此公告。</w:t>
      </w:r>
    </w:p>
    <w:p>
      <w:pPr>
        <w:pStyle w:val="16"/>
        <w:snapToGrid w:val="0"/>
        <w:spacing w:line="360" w:lineRule="auto"/>
        <w:ind w:firstLine="420"/>
        <w:jc w:val="right"/>
        <w:rPr>
          <w:rFonts w:ascii="宋体" w:hAnsi="宋体"/>
          <w:color w:val="000000"/>
        </w:rPr>
      </w:pPr>
    </w:p>
    <w:p>
      <w:pPr>
        <w:pStyle w:val="16"/>
        <w:snapToGrid w:val="0"/>
        <w:spacing w:line="360" w:lineRule="auto"/>
        <w:ind w:firstLine="420"/>
        <w:jc w:val="right"/>
        <w:rPr>
          <w:rFonts w:ascii="宋体" w:hAnsi="宋体"/>
          <w:color w:val="000000"/>
        </w:rPr>
      </w:pPr>
    </w:p>
    <w:p>
      <w:pPr>
        <w:pStyle w:val="16"/>
        <w:snapToGrid w:val="0"/>
        <w:spacing w:line="360" w:lineRule="auto"/>
        <w:ind w:firstLine="420"/>
        <w:jc w:val="right"/>
        <w:rPr>
          <w:rFonts w:ascii="宋体" w:hAnsi="宋体"/>
          <w:color w:val="000000"/>
        </w:rPr>
      </w:pPr>
    </w:p>
    <w:p>
      <w:pPr>
        <w:pStyle w:val="16"/>
        <w:snapToGrid w:val="0"/>
        <w:spacing w:line="360" w:lineRule="auto"/>
        <w:ind w:firstLine="420"/>
        <w:jc w:val="right"/>
        <w:rPr>
          <w:rFonts w:ascii="宋体" w:hAnsi="宋体"/>
          <w:color w:val="000000"/>
        </w:rPr>
      </w:pPr>
      <w:r>
        <w:rPr>
          <w:rFonts w:hint="eastAsia" w:ascii="宋体" w:hAnsi="宋体"/>
          <w:color w:val="000000"/>
        </w:rPr>
        <w:t>埃夫特智能装备股份有限公司董事会</w:t>
      </w:r>
    </w:p>
    <w:p>
      <w:pPr>
        <w:pStyle w:val="16"/>
        <w:snapToGrid w:val="0"/>
        <w:spacing w:line="360" w:lineRule="auto"/>
        <w:ind w:firstLine="420"/>
        <w:jc w:val="right"/>
        <w:rPr>
          <w:rFonts w:ascii="宋体" w:hAnsi="宋体"/>
          <w:color w:val="000000"/>
        </w:rPr>
      </w:pPr>
      <w:r>
        <w:rPr>
          <w:rFonts w:hint="eastAsia" w:ascii="Times New Roman" w:hAnsi="Times New Roman"/>
          <w:color w:val="000000"/>
        </w:rPr>
        <w:t>202</w:t>
      </w:r>
      <w:r>
        <w:rPr>
          <w:rFonts w:ascii="Times New Roman" w:hAnsi="Times New Roman" w:cs="Times New Roman"/>
          <w:color w:val="000000"/>
        </w:rPr>
        <w:t>1年8月</w:t>
      </w:r>
      <w:r>
        <w:rPr>
          <w:rFonts w:hint="eastAsia" w:ascii="Times New Roman" w:hAnsi="Times New Roman" w:cs="Times New Roman"/>
          <w:color w:val="000000"/>
        </w:rPr>
        <w:t>28</w:t>
      </w:r>
      <w:r>
        <w:rPr>
          <w:rFonts w:hint="eastAsia" w:ascii="宋体" w:hAnsi="宋体"/>
          <w:color w:val="00000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30A"/>
    <w:rsid w:val="0004327C"/>
    <w:rsid w:val="00065083"/>
    <w:rsid w:val="000C3A20"/>
    <w:rsid w:val="000E303F"/>
    <w:rsid w:val="000F00E2"/>
    <w:rsid w:val="00124544"/>
    <w:rsid w:val="00155E8C"/>
    <w:rsid w:val="0017298A"/>
    <w:rsid w:val="00172A27"/>
    <w:rsid w:val="001C3FF3"/>
    <w:rsid w:val="001E4D67"/>
    <w:rsid w:val="002B4457"/>
    <w:rsid w:val="00393EB3"/>
    <w:rsid w:val="003F1848"/>
    <w:rsid w:val="00412C47"/>
    <w:rsid w:val="00481500"/>
    <w:rsid w:val="00520B4A"/>
    <w:rsid w:val="00532382"/>
    <w:rsid w:val="005E10B3"/>
    <w:rsid w:val="005F2066"/>
    <w:rsid w:val="00623BA0"/>
    <w:rsid w:val="006604A6"/>
    <w:rsid w:val="006C0DAA"/>
    <w:rsid w:val="006D4F91"/>
    <w:rsid w:val="00702B75"/>
    <w:rsid w:val="00705649"/>
    <w:rsid w:val="0074785C"/>
    <w:rsid w:val="00760DA2"/>
    <w:rsid w:val="00794E21"/>
    <w:rsid w:val="007A063B"/>
    <w:rsid w:val="00842F6B"/>
    <w:rsid w:val="00876479"/>
    <w:rsid w:val="0089484F"/>
    <w:rsid w:val="008A28C0"/>
    <w:rsid w:val="008B2EE7"/>
    <w:rsid w:val="00912B5E"/>
    <w:rsid w:val="00941E40"/>
    <w:rsid w:val="009F2FD9"/>
    <w:rsid w:val="00A16A89"/>
    <w:rsid w:val="00A434DB"/>
    <w:rsid w:val="00AB00A8"/>
    <w:rsid w:val="00B173F6"/>
    <w:rsid w:val="00BA7915"/>
    <w:rsid w:val="00D05099"/>
    <w:rsid w:val="00D1197F"/>
    <w:rsid w:val="00E50223"/>
    <w:rsid w:val="00E8037D"/>
    <w:rsid w:val="00EB6092"/>
    <w:rsid w:val="00EC56A0"/>
    <w:rsid w:val="00F15433"/>
    <w:rsid w:val="00F26BD7"/>
    <w:rsid w:val="00F56901"/>
    <w:rsid w:val="00F85CE4"/>
    <w:rsid w:val="00FF586E"/>
    <w:rsid w:val="0BFB691C"/>
    <w:rsid w:val="0C914186"/>
    <w:rsid w:val="0F232932"/>
    <w:rsid w:val="112304B1"/>
    <w:rsid w:val="1EB96A41"/>
    <w:rsid w:val="223E0225"/>
    <w:rsid w:val="2AD81D18"/>
    <w:rsid w:val="2B2A33A9"/>
    <w:rsid w:val="3B5A7D3A"/>
    <w:rsid w:val="3E74162B"/>
    <w:rsid w:val="42C00412"/>
    <w:rsid w:val="50A956D7"/>
    <w:rsid w:val="50DE3E14"/>
    <w:rsid w:val="529C5B3F"/>
    <w:rsid w:val="5ADF25E5"/>
    <w:rsid w:val="5FE76CB5"/>
    <w:rsid w:val="630D3A5D"/>
    <w:rsid w:val="65AD66B4"/>
    <w:rsid w:val="795F4C8C"/>
    <w:rsid w:val="7DF1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before="66"/>
      <w:ind w:left="645"/>
      <w:outlineLvl w:val="0"/>
    </w:pPr>
    <w:rPr>
      <w:rFonts w:ascii="宋体" w:hAnsi="宋体" w:cs="宋体"/>
      <w:b/>
      <w:bCs/>
      <w:sz w:val="24"/>
      <w:szCs w:val="24"/>
      <w:lang w:val="zh-CN" w:bidi="zh-CN"/>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ody Text"/>
    <w:basedOn w:val="1"/>
    <w:qFormat/>
    <w:uiPriority w:val="1"/>
    <w:rPr>
      <w:rFonts w:ascii="宋体" w:hAnsi="宋体" w:cs="宋体"/>
      <w:sz w:val="24"/>
      <w:szCs w:val="24"/>
      <w:lang w:val="zh-CN" w:bidi="zh-CN"/>
    </w:rPr>
  </w:style>
  <w:style w:type="paragraph" w:styleId="5">
    <w:name w:val="Balloon Text"/>
    <w:basedOn w:val="1"/>
    <w:link w:val="18"/>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link w:val="15"/>
    <w:qFormat/>
    <w:uiPriority w:val="0"/>
    <w:pPr>
      <w:spacing w:before="240" w:after="60"/>
      <w:jc w:val="center"/>
      <w:outlineLvl w:val="0"/>
    </w:pPr>
    <w:rPr>
      <w:rFonts w:ascii="Cambria" w:hAnsi="Cambria"/>
      <w:b/>
      <w:bCs/>
      <w:sz w:val="32"/>
      <w:szCs w:val="32"/>
    </w:rPr>
  </w:style>
  <w:style w:type="paragraph" w:styleId="9">
    <w:name w:val="annotation subject"/>
    <w:basedOn w:val="3"/>
    <w:next w:val="3"/>
    <w:link w:val="20"/>
    <w:semiHidden/>
    <w:unhideWhenUsed/>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0"/>
    <w:rPr>
      <w:color w:val="0000FF" w:themeColor="hyperlink"/>
      <w:u w:val="single"/>
      <w14:textFill>
        <w14:solidFill>
          <w14:schemeClr w14:val="hlink"/>
        </w14:solidFill>
      </w14:textFill>
    </w:rPr>
  </w:style>
  <w:style w:type="character" w:styleId="14">
    <w:name w:val="annotation reference"/>
    <w:basedOn w:val="12"/>
    <w:semiHidden/>
    <w:unhideWhenUsed/>
    <w:qFormat/>
    <w:uiPriority w:val="0"/>
    <w:rPr>
      <w:sz w:val="21"/>
      <w:szCs w:val="21"/>
    </w:rPr>
  </w:style>
  <w:style w:type="character" w:customStyle="1" w:styleId="15">
    <w:name w:val="标题 Char"/>
    <w:link w:val="8"/>
    <w:qFormat/>
    <w:locked/>
    <w:uiPriority w:val="0"/>
    <w:rPr>
      <w:rFonts w:ascii="Cambria" w:hAnsi="Cambria" w:eastAsia="宋体"/>
      <w:b/>
      <w:bCs/>
      <w:kern w:val="2"/>
      <w:sz w:val="32"/>
      <w:szCs w:val="32"/>
      <w:lang w:val="en-US" w:eastAsia="zh-CN" w:bidi="ar-SA"/>
    </w:rPr>
  </w:style>
  <w:style w:type="paragraph" w:customStyle="1" w:styleId="16">
    <w:name w:val="p0"/>
    <w:basedOn w:val="1"/>
    <w:qFormat/>
    <w:uiPriority w:val="0"/>
    <w:pPr>
      <w:widowControl/>
    </w:pPr>
    <w:rPr>
      <w:rFonts w:ascii="Book Antiqua" w:hAnsi="Book Antiqua" w:cs="宋体"/>
      <w:kern w:val="0"/>
      <w:sz w:val="24"/>
      <w:szCs w:val="24"/>
    </w:rPr>
  </w:style>
  <w:style w:type="character" w:customStyle="1" w:styleId="17">
    <w:name w:val="未处理的提及1"/>
    <w:basedOn w:val="12"/>
    <w:semiHidden/>
    <w:unhideWhenUsed/>
    <w:qFormat/>
    <w:uiPriority w:val="99"/>
    <w:rPr>
      <w:color w:val="605E5C"/>
      <w:shd w:val="clear" w:color="auto" w:fill="E1DFDD"/>
    </w:rPr>
  </w:style>
  <w:style w:type="character" w:customStyle="1" w:styleId="18">
    <w:name w:val="批注框文本 Char"/>
    <w:basedOn w:val="12"/>
    <w:link w:val="5"/>
    <w:qFormat/>
    <w:uiPriority w:val="0"/>
    <w:rPr>
      <w:kern w:val="2"/>
      <w:sz w:val="18"/>
      <w:szCs w:val="18"/>
    </w:rPr>
  </w:style>
  <w:style w:type="character" w:customStyle="1" w:styleId="19">
    <w:name w:val="批注文字 Char"/>
    <w:basedOn w:val="12"/>
    <w:link w:val="3"/>
    <w:semiHidden/>
    <w:qFormat/>
    <w:uiPriority w:val="0"/>
    <w:rPr>
      <w:kern w:val="2"/>
      <w:sz w:val="21"/>
    </w:rPr>
  </w:style>
  <w:style w:type="character" w:customStyle="1" w:styleId="20">
    <w:name w:val="批注主题 Char"/>
    <w:basedOn w:val="19"/>
    <w:link w:val="9"/>
    <w:semiHidden/>
    <w:qFormat/>
    <w:uiPriority w:val="0"/>
    <w:rPr>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316</Words>
  <Characters>1806</Characters>
  <Lines>15</Lines>
  <Paragraphs>4</Paragraphs>
  <TotalTime>18</TotalTime>
  <ScaleCrop>false</ScaleCrop>
  <LinksUpToDate>false</LinksUpToDate>
  <CharactersWithSpaces>2118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2021-08-22T08:39:00Z</dcterms:created>
  <dc:creator>Tian</dc:creator>
  <cp:lastModifiedBy>富强民主</cp:lastModifiedBy>
  <cp:lastPrinted>2411-12-31T15:59:00Z</cp:lastPrinted>
  <dcterms:modified xsi:type="dcterms:W3CDTF">2021-08-26T03:56:13Z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2E3891F2A3D04E81B13688C39507B8CA</vt:lpwstr>
  </property>
</Properties>
</file>