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eastAsia="黑体"/>
          <w:b/>
          <w:kern w:val="0"/>
          <w:sz w:val="28"/>
          <w:szCs w:val="36"/>
        </w:rPr>
      </w:pPr>
      <w:r>
        <w:rPr>
          <w:rFonts w:ascii="Times New Roman" w:hAnsi="Times New Roman" w:eastAsia="黑体"/>
          <w:b/>
          <w:kern w:val="0"/>
          <w:sz w:val="28"/>
          <w:szCs w:val="36"/>
        </w:rPr>
        <w:t>国信证券股份有限公司</w:t>
      </w:r>
    </w:p>
    <w:p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eastAsia="黑体"/>
          <w:b/>
          <w:kern w:val="0"/>
          <w:sz w:val="28"/>
          <w:szCs w:val="36"/>
        </w:rPr>
      </w:pPr>
      <w:r>
        <w:rPr>
          <w:rFonts w:ascii="Times New Roman" w:hAnsi="Times New Roman" w:eastAsia="黑体"/>
          <w:b/>
          <w:kern w:val="0"/>
          <w:sz w:val="28"/>
          <w:szCs w:val="36"/>
        </w:rPr>
        <w:t>关于</w:t>
      </w:r>
      <w:r>
        <w:rPr>
          <w:rFonts w:hint="eastAsia" w:ascii="Times New Roman" w:hAnsi="Times New Roman" w:eastAsia="黑体"/>
          <w:b/>
          <w:kern w:val="0"/>
          <w:sz w:val="28"/>
          <w:szCs w:val="36"/>
        </w:rPr>
        <w:t>埃夫特智能装备</w:t>
      </w:r>
      <w:r>
        <w:rPr>
          <w:rFonts w:ascii="Times New Roman" w:hAnsi="Times New Roman" w:eastAsia="黑体"/>
          <w:b/>
          <w:kern w:val="0"/>
          <w:sz w:val="28"/>
          <w:szCs w:val="36"/>
        </w:rPr>
        <w:t>股份有限公司</w:t>
      </w:r>
    </w:p>
    <w:p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eastAsia="黑体"/>
          <w:b/>
          <w:kern w:val="0"/>
          <w:sz w:val="28"/>
          <w:szCs w:val="36"/>
        </w:rPr>
      </w:pPr>
      <w:r>
        <w:rPr>
          <w:rFonts w:hint="eastAsia" w:ascii="Times New Roman" w:hAnsi="Times New Roman" w:eastAsia="黑体"/>
          <w:b/>
          <w:kern w:val="0"/>
          <w:sz w:val="28"/>
          <w:szCs w:val="36"/>
        </w:rPr>
        <w:t>2020年度持续督导工作现场检查报告</w:t>
      </w:r>
    </w:p>
    <w:p>
      <w:pPr>
        <w:spacing w:before="156" w:beforeLines="50" w:line="360" w:lineRule="auto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上海证券交易所：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国信证券股份有限公司（以下简称“国信证券”或“</w:t>
      </w:r>
      <w:r>
        <w:rPr>
          <w:rFonts w:hint="eastAsia" w:ascii="Times New Roman" w:hAnsi="Times New Roman"/>
          <w:sz w:val="24"/>
          <w:szCs w:val="28"/>
        </w:rPr>
        <w:t>保荐机构</w:t>
      </w:r>
      <w:r>
        <w:rPr>
          <w:rFonts w:ascii="Times New Roman" w:hAnsi="Times New Roman"/>
          <w:sz w:val="24"/>
          <w:szCs w:val="28"/>
        </w:rPr>
        <w:t>”）作为</w:t>
      </w:r>
      <w:r>
        <w:rPr>
          <w:rFonts w:hint="eastAsia" w:ascii="Times New Roman" w:hAnsi="Times New Roman"/>
          <w:sz w:val="24"/>
          <w:szCs w:val="28"/>
        </w:rPr>
        <w:t>埃夫特智能装备股份有限公司（以下简称“埃夫特”或“公司”）首次公开发行股票并在科创板上市的保荐机构，根据《中华人民共和国公司法》、《中华人民共和国证券法》、《证券发行上市保荐业务管理办法》、《上海证券交易所科创板股票上市规则》、《上海证券交易所上市公司持续督导工作指引》等法律、法规和规范性文件的要求，对埃夫特自2020年7月上市以来的规范运作情况进行了现场检查，就现场检查的有关情况报告如下：</w:t>
      </w:r>
    </w:p>
    <w:p>
      <w:pPr>
        <w:spacing w:before="156" w:beforeLines="50" w:after="156" w:afterLines="50" w:line="360" w:lineRule="auto"/>
        <w:ind w:firstLine="482" w:firstLineChars="200"/>
        <w:outlineLvl w:val="0"/>
        <w:rPr>
          <w:rFonts w:ascii="Times New Roman" w:hAnsi="Times New Roman"/>
          <w:b/>
          <w:bCs/>
          <w:sz w:val="24"/>
          <w:szCs w:val="32"/>
        </w:rPr>
      </w:pPr>
      <w:r>
        <w:rPr>
          <w:rFonts w:ascii="Times New Roman" w:hAnsi="Times New Roman"/>
          <w:b/>
          <w:bCs/>
          <w:sz w:val="24"/>
          <w:szCs w:val="32"/>
        </w:rPr>
        <w:t>一、</w:t>
      </w:r>
      <w:r>
        <w:rPr>
          <w:rFonts w:hint="eastAsia" w:ascii="Times New Roman" w:hAnsi="Times New Roman"/>
          <w:b/>
          <w:bCs/>
          <w:sz w:val="24"/>
          <w:szCs w:val="32"/>
        </w:rPr>
        <w:t>本次现场检查的基本情况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2021年3月16日至3月18日，国信证券现场检查人员张存涛、赵辰恺通过查阅资料、实地调研等方式对埃夫特自2020年7月15日至2021年3月18日（以下简称“检查期”）的有关情况进行了现场检查，检查的内容包括：（一）公司治理和内部控制情况；（二）信息披露情况；（三）公司的独立性以及与控股股东、实际控制人及其他关联方资金往来情况；（四）募集资金使用情况；（五）关联交易、对外担保、重大对外投资情况；（六）经营状况；（七）保荐机构认为应予以现场检查的其他事项。</w:t>
      </w:r>
    </w:p>
    <w:p>
      <w:pPr>
        <w:spacing w:before="156" w:beforeLines="50" w:after="156" w:afterLines="50" w:line="360" w:lineRule="auto"/>
        <w:ind w:firstLine="482" w:firstLineChars="200"/>
        <w:outlineLvl w:val="0"/>
        <w:rPr>
          <w:rFonts w:ascii="Times New Roman" w:hAnsi="Times New Roman"/>
          <w:b/>
          <w:bCs/>
          <w:sz w:val="24"/>
          <w:szCs w:val="32"/>
        </w:rPr>
      </w:pPr>
      <w:r>
        <w:rPr>
          <w:rFonts w:ascii="Times New Roman" w:hAnsi="Times New Roman"/>
          <w:b/>
          <w:bCs/>
          <w:sz w:val="24"/>
          <w:szCs w:val="32"/>
        </w:rPr>
        <w:t>二、</w:t>
      </w:r>
      <w:r>
        <w:rPr>
          <w:rFonts w:hint="eastAsia" w:ascii="Times New Roman" w:hAnsi="Times New Roman"/>
          <w:b/>
          <w:bCs/>
          <w:sz w:val="24"/>
          <w:szCs w:val="32"/>
        </w:rPr>
        <w:t>对现场检查事项逐项发表的意见</w:t>
      </w:r>
    </w:p>
    <w:p>
      <w:pPr>
        <w:spacing w:before="156" w:beforeLines="50" w:line="360" w:lineRule="auto"/>
        <w:ind w:firstLine="482" w:firstLineChars="200"/>
        <w:outlineLvl w:val="1"/>
        <w:rPr>
          <w:rFonts w:ascii="Times New Roman" w:hAnsi="Times New Roman"/>
          <w:b/>
          <w:sz w:val="24"/>
          <w:szCs w:val="32"/>
        </w:rPr>
      </w:pPr>
      <w:r>
        <w:rPr>
          <w:rFonts w:hint="eastAsia" w:ascii="Times New Roman" w:hAnsi="Times New Roman"/>
          <w:b/>
          <w:sz w:val="24"/>
          <w:szCs w:val="32"/>
        </w:rPr>
        <w:t>（一）公司治理和内部控制情况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保荐机构查阅了埃夫特的公司章程、股东大会议事规则、董事会议事规则、监事会议事规则等公司治理和内控制度，查阅了埃夫特在检查期的历次股东大会、董事会、监事会会议材料，检查了公司内控制度的执行情况。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经检查，保荐机构认为：公司根据《公司法》、《证券法》等有关法律法规的规定制定了公司章程、股东大会议事规则、董事会议事规则、监事会议事规则等公司治理和内控制度，明确了股东大会、董事会、监事会的权责范围和工作程序，公司依据上述规章制度规范公司日常的经营和管理活动。截至现场检查之日，公司制订的各项内部控制制度合理并得到了有效执行。</w:t>
      </w:r>
    </w:p>
    <w:p>
      <w:pPr>
        <w:spacing w:before="156" w:beforeLines="50" w:line="360" w:lineRule="auto"/>
        <w:ind w:firstLine="482" w:firstLineChars="200"/>
        <w:outlineLvl w:val="1"/>
        <w:rPr>
          <w:rFonts w:ascii="Times New Roman" w:hAnsi="Times New Roman"/>
          <w:b/>
          <w:sz w:val="24"/>
          <w:szCs w:val="32"/>
        </w:rPr>
      </w:pPr>
      <w:r>
        <w:rPr>
          <w:rFonts w:hint="eastAsia" w:ascii="Times New Roman" w:hAnsi="Times New Roman"/>
          <w:b/>
          <w:sz w:val="24"/>
          <w:szCs w:val="32"/>
        </w:rPr>
        <w:t>（二）信息披露情况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保荐机构查阅了埃夫特检查期在指定渠道公告的信息披露文件，检查了信息披露文件的内容及格式、履行的相关程序，并与公司三会文件、会议记录对比和分析。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经检查，保荐机构认为：截至现场检查之日，埃夫特信息披露不存在虚假记载、误导性陈述或重大遗漏，符合上市公司信息披露的有关规定。</w:t>
      </w:r>
    </w:p>
    <w:p>
      <w:pPr>
        <w:spacing w:before="156" w:beforeLines="50" w:line="360" w:lineRule="auto"/>
        <w:ind w:firstLine="482" w:firstLineChars="200"/>
        <w:outlineLvl w:val="1"/>
        <w:rPr>
          <w:rFonts w:ascii="Times New Roman" w:hAnsi="Times New Roman"/>
          <w:b/>
          <w:sz w:val="24"/>
          <w:szCs w:val="32"/>
        </w:rPr>
      </w:pPr>
      <w:r>
        <w:rPr>
          <w:rFonts w:hint="eastAsia" w:ascii="Times New Roman" w:hAnsi="Times New Roman"/>
          <w:b/>
          <w:sz w:val="24"/>
          <w:szCs w:val="32"/>
        </w:rPr>
        <w:t>（三）公司的独立性以及与控股股东、实际控制人及其他关联方资金往来情况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保荐机构查阅了埃夫特的公司章程、关联交易管理办法等制度性文件，查阅了埃夫特检查期的信息披露文件，查阅了公司与关联方交易、往来的资料。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经检查，保荐机构认为：截至现场检查之日，埃夫特资产完整，人员、机构、业务和财务保持独立，不存在关联方违规占有公司资金的情形。</w:t>
      </w:r>
    </w:p>
    <w:p>
      <w:pPr>
        <w:spacing w:before="156" w:beforeLines="50" w:line="360" w:lineRule="auto"/>
        <w:ind w:firstLine="482" w:firstLineChars="200"/>
        <w:outlineLvl w:val="1"/>
        <w:rPr>
          <w:rFonts w:ascii="Times New Roman" w:hAnsi="Times New Roman"/>
          <w:b/>
          <w:sz w:val="24"/>
          <w:szCs w:val="32"/>
        </w:rPr>
      </w:pPr>
      <w:r>
        <w:rPr>
          <w:rFonts w:hint="eastAsia" w:ascii="Times New Roman" w:hAnsi="Times New Roman"/>
          <w:b/>
          <w:sz w:val="24"/>
          <w:szCs w:val="32"/>
        </w:rPr>
        <w:t>（四）募集资金使用情况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保荐机构查阅了募集资金三方监管协议，获取了募集资金专户对账单并与募集资金使用台账比对，查阅了大额募集资金支出的合同、凭证等资料。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经检查，保荐机构认为：埃夫特首次公开发行股票募集资金已全部存放至募集资金专户，并与专户开立银行及保荐机构签署了募集资金三方监管协议；截至现场检查之日，埃夫特对募集资金的使用</w:t>
      </w:r>
      <w:r>
        <w:rPr>
          <w:rFonts w:hint="eastAsia" w:ascii="Times New Roman" w:hAnsi="Times New Roman"/>
          <w:sz w:val="24"/>
          <w:szCs w:val="32"/>
        </w:rPr>
        <w:t>符合《上市公司监管指引第2号——上市公司募集资金管理和使用的监管要求》、《上海证券交易所科创板股票上市规则》和《上海证券交易所上市公司募集资金管理办法（2013年修订）》等法律、法规及规范性文件的要求。</w:t>
      </w:r>
    </w:p>
    <w:p>
      <w:pPr>
        <w:spacing w:before="156" w:beforeLines="50" w:line="360" w:lineRule="auto"/>
        <w:ind w:firstLine="482" w:firstLineChars="200"/>
        <w:outlineLvl w:val="1"/>
        <w:rPr>
          <w:rFonts w:ascii="Times New Roman" w:hAnsi="Times New Roman"/>
          <w:b/>
          <w:sz w:val="24"/>
          <w:szCs w:val="32"/>
        </w:rPr>
      </w:pPr>
      <w:r>
        <w:rPr>
          <w:rFonts w:hint="eastAsia" w:ascii="Times New Roman" w:hAnsi="Times New Roman"/>
          <w:b/>
          <w:sz w:val="24"/>
          <w:szCs w:val="32"/>
        </w:rPr>
        <w:t>（五）关联交易、对外担保、重大对外投资情况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保荐机构查阅了埃夫特的公司章程、关联交易管理办法等制度性文件，查阅了埃夫特在检查期的历次股东大会、董事会、监事会会议材料。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经检查，保荐机构认为：截至现场检查之日，埃夫特发生的关联交易、对外投资履行了信息披露义务和审议程序，相关行为不存在重大违法违规和损害中小股东利益的情形。</w:t>
      </w:r>
    </w:p>
    <w:p>
      <w:pPr>
        <w:spacing w:before="156" w:beforeLines="50" w:line="360" w:lineRule="auto"/>
        <w:ind w:firstLine="482" w:firstLineChars="200"/>
        <w:outlineLvl w:val="1"/>
        <w:rPr>
          <w:rFonts w:ascii="Times New Roman" w:hAnsi="Times New Roman"/>
          <w:b/>
          <w:sz w:val="24"/>
          <w:szCs w:val="32"/>
        </w:rPr>
      </w:pPr>
      <w:r>
        <w:rPr>
          <w:rFonts w:hint="eastAsia" w:ascii="Times New Roman" w:hAnsi="Times New Roman"/>
          <w:b/>
          <w:sz w:val="24"/>
          <w:szCs w:val="32"/>
        </w:rPr>
        <w:t>（六）经营状况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保荐机构查阅了埃夫特2020年半年度报告、2020年三季度报告、2020年度业绩快报以及相关财务、业务资料。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经检查，保荐机构认为：检查期内，埃夫特经营模式和经营环境未发生重大变化，公司治理和经营管理状况正常。新冠疫情对公司境外经营主体产生一定的负面影响，部分境外集成项目出现延期，导致埃夫特境外收入出现下滑。</w:t>
      </w:r>
    </w:p>
    <w:p>
      <w:pPr>
        <w:spacing w:before="156" w:beforeLines="50" w:line="360" w:lineRule="auto"/>
        <w:ind w:firstLine="482" w:firstLineChars="200"/>
        <w:outlineLvl w:val="1"/>
        <w:rPr>
          <w:rFonts w:ascii="Times New Roman" w:hAnsi="Times New Roman"/>
          <w:b/>
          <w:sz w:val="24"/>
          <w:szCs w:val="32"/>
        </w:rPr>
      </w:pPr>
      <w:r>
        <w:rPr>
          <w:rFonts w:hint="eastAsia" w:ascii="Times New Roman" w:hAnsi="Times New Roman"/>
          <w:b/>
          <w:sz w:val="24"/>
          <w:szCs w:val="32"/>
        </w:rPr>
        <w:t>（七）保荐机构认为应予以现场检查的其他事项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无</w:t>
      </w:r>
    </w:p>
    <w:p>
      <w:pPr>
        <w:spacing w:before="156" w:beforeLines="50" w:after="156" w:afterLines="50" w:line="360" w:lineRule="auto"/>
        <w:ind w:firstLine="482" w:firstLineChars="200"/>
        <w:outlineLvl w:val="0"/>
        <w:rPr>
          <w:rFonts w:ascii="Times New Roman" w:hAnsi="Times New Roman"/>
          <w:b/>
          <w:bCs/>
          <w:sz w:val="24"/>
          <w:szCs w:val="32"/>
        </w:rPr>
      </w:pPr>
      <w:r>
        <w:rPr>
          <w:rFonts w:ascii="Times New Roman" w:hAnsi="Times New Roman"/>
          <w:b/>
          <w:bCs/>
          <w:sz w:val="24"/>
          <w:szCs w:val="32"/>
        </w:rPr>
        <w:t>三、</w:t>
      </w:r>
      <w:r>
        <w:rPr>
          <w:rFonts w:hint="eastAsia" w:ascii="Times New Roman" w:hAnsi="Times New Roman"/>
          <w:b/>
          <w:bCs/>
          <w:sz w:val="24"/>
          <w:szCs w:val="32"/>
        </w:rPr>
        <w:t>提请上市公司注意的事项及建议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保荐机构已提请公司关注新冠疫情对境内外经营主体的影响，关注智能制造装备行业变动趋势及对公司生产经营的影响，关注募投项目的实施情况。</w:t>
      </w:r>
    </w:p>
    <w:p>
      <w:pPr>
        <w:spacing w:before="156" w:beforeLines="50" w:after="156" w:afterLines="50" w:line="360" w:lineRule="auto"/>
        <w:ind w:firstLine="482" w:firstLineChars="200"/>
        <w:outlineLvl w:val="0"/>
        <w:rPr>
          <w:rFonts w:ascii="Times New Roman" w:hAnsi="Times New Roman"/>
          <w:b/>
          <w:bCs/>
          <w:sz w:val="24"/>
          <w:szCs w:val="32"/>
        </w:rPr>
      </w:pPr>
      <w:r>
        <w:rPr>
          <w:rFonts w:hint="eastAsia" w:ascii="Times New Roman" w:hAnsi="Times New Roman"/>
          <w:b/>
          <w:bCs/>
          <w:sz w:val="24"/>
          <w:szCs w:val="32"/>
        </w:rPr>
        <w:t>四、是否存</w:t>
      </w:r>
      <w:bookmarkStart w:id="0" w:name="_GoBack"/>
      <w:bookmarkEnd w:id="0"/>
      <w:r>
        <w:rPr>
          <w:rFonts w:hint="eastAsia" w:ascii="Times New Roman" w:hAnsi="Times New Roman"/>
          <w:b/>
          <w:bCs/>
          <w:sz w:val="24"/>
          <w:szCs w:val="32"/>
        </w:rPr>
        <w:t>应向中国证监会和上海证券交易所报告的事项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本次现场检查未发现埃夫特存在《证券发行上市保荐业务管理办法》及《上海证券交易所上市公司持续督导工作指引》等相关规则规定的应向中国证监会和上海证券交易所报告的事项。</w:t>
      </w:r>
    </w:p>
    <w:p>
      <w:pPr>
        <w:spacing w:before="156" w:beforeLines="50" w:after="156" w:afterLines="50" w:line="360" w:lineRule="auto"/>
        <w:ind w:firstLine="482" w:firstLineChars="200"/>
        <w:outlineLvl w:val="0"/>
        <w:rPr>
          <w:rFonts w:ascii="Times New Roman" w:hAnsi="Times New Roman"/>
          <w:b/>
          <w:bCs/>
          <w:sz w:val="24"/>
          <w:szCs w:val="32"/>
        </w:rPr>
      </w:pPr>
      <w:r>
        <w:rPr>
          <w:rFonts w:hint="eastAsia" w:ascii="Times New Roman" w:hAnsi="Times New Roman"/>
          <w:b/>
          <w:bCs/>
          <w:sz w:val="24"/>
          <w:szCs w:val="32"/>
        </w:rPr>
        <w:t>五、上市公司及其他中介机构的配合情况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本次现场检查中，上市公司积极配合并提供所需文件资料，为本次现场检查提供了必要的支持。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本次现场检查为保荐机构独立进行，未安排其他中介机构配合工作。</w:t>
      </w:r>
    </w:p>
    <w:p>
      <w:pPr>
        <w:spacing w:before="156" w:beforeLines="50" w:after="156" w:afterLines="50" w:line="360" w:lineRule="auto"/>
        <w:ind w:firstLine="482" w:firstLineChars="200"/>
        <w:outlineLvl w:val="0"/>
        <w:rPr>
          <w:rFonts w:ascii="Times New Roman" w:hAnsi="Times New Roman"/>
          <w:b/>
          <w:bCs/>
          <w:sz w:val="24"/>
          <w:szCs w:val="32"/>
        </w:rPr>
      </w:pPr>
      <w:r>
        <w:rPr>
          <w:rFonts w:hint="eastAsia" w:ascii="Times New Roman" w:hAnsi="Times New Roman"/>
          <w:b/>
          <w:bCs/>
          <w:sz w:val="24"/>
          <w:szCs w:val="32"/>
        </w:rPr>
        <w:t xml:space="preserve">六、本次现场检查的结论 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通过现场检查，保荐机构认为：检查期内，埃夫特在公司治理、内部控制、信息披露、独立性、关联交易、对外担保、募集资金运用等重要方面的运作符合《上海证券交易所科创板股票上市规则》、《上海证券交易所上市公司持续督导工作指引》、《上海证券交易所上市公司募集资金管理规定》等相法律法规的相关要求。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hint="eastAsia" w:ascii="Times New Roman" w:hAnsi="Times New Roman"/>
          <w:sz w:val="24"/>
          <w:szCs w:val="28"/>
        </w:rPr>
        <w:t>（以下无正文）</w:t>
      </w:r>
    </w:p>
    <w:p>
      <w:pPr>
        <w:spacing w:before="156" w:beforeLines="50" w:line="36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color w:val="FF0000"/>
          <w:sz w:val="24"/>
          <w:szCs w:val="28"/>
        </w:rPr>
        <w:br w:type="page"/>
      </w:r>
      <w:r>
        <w:rPr>
          <w:rFonts w:ascii="Times New Roman" w:hAnsi="Times New Roman"/>
          <w:sz w:val="24"/>
          <w:szCs w:val="28"/>
        </w:rPr>
        <w:t>【本页无正文，为《</w:t>
      </w:r>
      <w:r>
        <w:rPr>
          <w:rFonts w:hint="eastAsia" w:ascii="Times New Roman" w:hAnsi="Times New Roman"/>
          <w:sz w:val="24"/>
          <w:szCs w:val="28"/>
        </w:rPr>
        <w:t>国信证券股份有限公司关于埃夫特智能装备股份有限公司2020年度持续督导工作现场检查报告</w:t>
      </w:r>
      <w:r>
        <w:rPr>
          <w:rFonts w:ascii="Times New Roman" w:hAnsi="Times New Roman"/>
          <w:sz w:val="24"/>
          <w:szCs w:val="28"/>
        </w:rPr>
        <w:t>》的</w:t>
      </w:r>
      <w:r>
        <w:rPr>
          <w:rFonts w:hint="eastAsia" w:ascii="Times New Roman" w:hAnsi="Times New Roman"/>
          <w:sz w:val="24"/>
          <w:szCs w:val="28"/>
        </w:rPr>
        <w:t>签字</w:t>
      </w:r>
      <w:r>
        <w:rPr>
          <w:rFonts w:ascii="Times New Roman" w:hAnsi="Times New Roman"/>
          <w:sz w:val="24"/>
          <w:szCs w:val="28"/>
        </w:rPr>
        <w:t>页】</w:t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color w:val="FF0000"/>
          <w:sz w:val="24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-986155</wp:posOffset>
            </wp:positionH>
            <wp:positionV relativeFrom="paragraph">
              <wp:posOffset>-1611630</wp:posOffset>
            </wp:positionV>
            <wp:extent cx="7552055" cy="10642600"/>
            <wp:effectExtent l="0" t="0" r="0" b="698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5121" cy="10646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before="156" w:beforeLines="50" w:line="360" w:lineRule="auto"/>
        <w:ind w:firstLine="480" w:firstLineChars="200"/>
        <w:rPr>
          <w:rFonts w:ascii="Times New Roman" w:hAnsi="Times New Roman"/>
          <w:sz w:val="24"/>
          <w:szCs w:val="28"/>
        </w:rPr>
      </w:pPr>
    </w:p>
    <w:p>
      <w:pPr>
        <w:widowControl/>
        <w:spacing w:before="156" w:beforeLines="50" w:line="360" w:lineRule="auto"/>
        <w:ind w:firstLine="480" w:firstLineChars="200"/>
        <w:jc w:val="left"/>
        <w:rPr>
          <w:rFonts w:ascii="Times New Roman" w:hAnsi="Times New Roman"/>
          <w:kern w:val="0"/>
          <w:sz w:val="24"/>
          <w:szCs w:val="24"/>
        </w:rPr>
      </w:pPr>
    </w:p>
    <w:p>
      <w:pPr>
        <w:widowControl/>
        <w:spacing w:before="156" w:beforeLines="50" w:line="360" w:lineRule="auto"/>
        <w:ind w:firstLine="480" w:firstLineChars="200"/>
        <w:jc w:val="left"/>
        <w:rPr>
          <w:rFonts w:ascii="Times New Roman" w:hAnsi="Times New Roman"/>
          <w:kern w:val="0"/>
          <w:sz w:val="24"/>
          <w:szCs w:val="24"/>
        </w:rPr>
      </w:pPr>
    </w:p>
    <w:tbl>
      <w:tblPr>
        <w:tblStyle w:val="10"/>
        <w:tblW w:w="0" w:type="auto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1"/>
        <w:gridCol w:w="240"/>
        <w:gridCol w:w="1910"/>
        <w:gridCol w:w="680"/>
        <w:gridCol w:w="1798"/>
      </w:tblGrid>
      <w:tr>
        <w:tc>
          <w:tcPr>
            <w:tcW w:w="287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保荐代表</w:t>
            </w:r>
            <w:r>
              <w:rPr>
                <w:rFonts w:ascii="Times New Roman" w:hAnsi="Times New Roman"/>
                <w:sz w:val="24"/>
                <w:szCs w:val="24"/>
              </w:rPr>
              <w:t>人：</w:t>
            </w:r>
          </w:p>
        </w:tc>
        <w:tc>
          <w:tcPr>
            <w:tcW w:w="2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8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张存涛</w:t>
            </w:r>
          </w:p>
        </w:tc>
        <w:tc>
          <w:tcPr>
            <w:tcW w:w="68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李明克</w:t>
            </w:r>
          </w:p>
        </w:tc>
      </w:tr>
    </w:tbl>
    <w:p>
      <w:pPr>
        <w:spacing w:after="156" w:afterLines="50" w:line="360" w:lineRule="auto"/>
        <w:rPr>
          <w:rFonts w:ascii="Times New Roman" w:hAnsi="Times New Roman"/>
          <w:sz w:val="24"/>
          <w:szCs w:val="24"/>
        </w:rPr>
      </w:pPr>
    </w:p>
    <w:p>
      <w:pPr>
        <w:spacing w:after="156" w:afterLines="50" w:line="360" w:lineRule="auto"/>
        <w:rPr>
          <w:rFonts w:ascii="Times New Roman" w:hAnsi="Times New Roman"/>
          <w:sz w:val="24"/>
          <w:szCs w:val="24"/>
        </w:rPr>
      </w:pPr>
    </w:p>
    <w:p>
      <w:pPr>
        <w:spacing w:after="156" w:afterLines="50" w:line="360" w:lineRule="auto"/>
        <w:rPr>
          <w:rFonts w:ascii="Times New Roman" w:hAnsi="Times New Roman"/>
          <w:sz w:val="24"/>
          <w:szCs w:val="24"/>
        </w:rPr>
      </w:pPr>
    </w:p>
    <w:p>
      <w:pPr>
        <w:spacing w:after="156" w:afterLines="50" w:line="360" w:lineRule="auto"/>
        <w:rPr>
          <w:rFonts w:ascii="Times New Roman" w:hAnsi="Times New Roman"/>
          <w:sz w:val="24"/>
          <w:szCs w:val="24"/>
        </w:rPr>
      </w:pPr>
    </w:p>
    <w:p>
      <w:pPr>
        <w:spacing w:after="156" w:afterLines="50" w:line="36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国信证券股份有限公司</w:t>
      </w:r>
    </w:p>
    <w:p>
      <w:pPr>
        <w:spacing w:after="156" w:afterLines="50" w:line="360" w:lineRule="auto"/>
        <w:jc w:val="right"/>
        <w:rPr>
          <w:rFonts w:ascii="Times New Roman" w:hAnsi="Times New Roman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年    月    日</w:t>
      </w:r>
    </w:p>
    <w:sectPr>
      <w:footerReference r:id="rId3" w:type="default"/>
      <w:pgSz w:w="11906" w:h="16838"/>
      <w:pgMar w:top="1440" w:right="1416" w:bottom="1440" w:left="15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ascii="Times New Roman" w:hAnsi="Times New Roman"/>
        <w:sz w:val="21"/>
      </w:rPr>
    </w:pPr>
    <w:r>
      <w:rPr>
        <w:rFonts w:ascii="Times New Roman" w:hAnsi="Times New Roman"/>
        <w:sz w:val="21"/>
      </w:rPr>
      <w:fldChar w:fldCharType="begin"/>
    </w:r>
    <w:r>
      <w:rPr>
        <w:rFonts w:ascii="Times New Roman" w:hAnsi="Times New Roman"/>
        <w:sz w:val="21"/>
      </w:rPr>
      <w:instrText xml:space="preserve">PAGE   \* MERGEFORMAT</w:instrText>
    </w:r>
    <w:r>
      <w:rPr>
        <w:rFonts w:ascii="Times New Roman" w:hAnsi="Times New Roman"/>
        <w:sz w:val="21"/>
      </w:rPr>
      <w:fldChar w:fldCharType="separate"/>
    </w:r>
    <w:r>
      <w:rPr>
        <w:rFonts w:ascii="Times New Roman" w:hAnsi="Times New Roman"/>
        <w:sz w:val="21"/>
        <w:lang w:val="zh-CN"/>
      </w:rPr>
      <w:t>4</w:t>
    </w:r>
    <w:r>
      <w:rPr>
        <w:rFonts w:ascii="Times New Roman" w:hAnsi="Times New Roman"/>
        <w:sz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F41"/>
    <w:rsid w:val="00044B68"/>
    <w:rsid w:val="00056575"/>
    <w:rsid w:val="0005752C"/>
    <w:rsid w:val="000979B8"/>
    <w:rsid w:val="000D49F5"/>
    <w:rsid w:val="000F51F0"/>
    <w:rsid w:val="001105C1"/>
    <w:rsid w:val="00121AA4"/>
    <w:rsid w:val="0013695B"/>
    <w:rsid w:val="00143BAD"/>
    <w:rsid w:val="001C1C44"/>
    <w:rsid w:val="001C2654"/>
    <w:rsid w:val="001C2A6F"/>
    <w:rsid w:val="001D5205"/>
    <w:rsid w:val="001D613D"/>
    <w:rsid w:val="00280842"/>
    <w:rsid w:val="002A0AE4"/>
    <w:rsid w:val="002B3844"/>
    <w:rsid w:val="002C43C3"/>
    <w:rsid w:val="00302A61"/>
    <w:rsid w:val="00306A08"/>
    <w:rsid w:val="0031651F"/>
    <w:rsid w:val="003211B5"/>
    <w:rsid w:val="003E11E7"/>
    <w:rsid w:val="00457B2B"/>
    <w:rsid w:val="00494118"/>
    <w:rsid w:val="004D1AC0"/>
    <w:rsid w:val="004F43A7"/>
    <w:rsid w:val="0051116F"/>
    <w:rsid w:val="0057506F"/>
    <w:rsid w:val="005B4D56"/>
    <w:rsid w:val="005B762D"/>
    <w:rsid w:val="005C6C1B"/>
    <w:rsid w:val="005C7C4B"/>
    <w:rsid w:val="005D2F1F"/>
    <w:rsid w:val="005D33CA"/>
    <w:rsid w:val="005E0D98"/>
    <w:rsid w:val="005E72A1"/>
    <w:rsid w:val="00725947"/>
    <w:rsid w:val="007A7758"/>
    <w:rsid w:val="007F1469"/>
    <w:rsid w:val="008275C0"/>
    <w:rsid w:val="008414A0"/>
    <w:rsid w:val="00887072"/>
    <w:rsid w:val="0093618A"/>
    <w:rsid w:val="00967DEB"/>
    <w:rsid w:val="009F6C18"/>
    <w:rsid w:val="00A07BDD"/>
    <w:rsid w:val="00A116E6"/>
    <w:rsid w:val="00A56074"/>
    <w:rsid w:val="00A562A5"/>
    <w:rsid w:val="00A66006"/>
    <w:rsid w:val="00AD6361"/>
    <w:rsid w:val="00B2216B"/>
    <w:rsid w:val="00B34C14"/>
    <w:rsid w:val="00B43A38"/>
    <w:rsid w:val="00B671FA"/>
    <w:rsid w:val="00B67822"/>
    <w:rsid w:val="00BB1839"/>
    <w:rsid w:val="00BD0233"/>
    <w:rsid w:val="00BD1E06"/>
    <w:rsid w:val="00C234DC"/>
    <w:rsid w:val="00C703EA"/>
    <w:rsid w:val="00C83A46"/>
    <w:rsid w:val="00CB4474"/>
    <w:rsid w:val="00D0477A"/>
    <w:rsid w:val="00D25F6C"/>
    <w:rsid w:val="00D516FF"/>
    <w:rsid w:val="00D645CC"/>
    <w:rsid w:val="00D75F39"/>
    <w:rsid w:val="00DB5AED"/>
    <w:rsid w:val="00DC6685"/>
    <w:rsid w:val="00DD41DB"/>
    <w:rsid w:val="00DE6F41"/>
    <w:rsid w:val="00E22F25"/>
    <w:rsid w:val="00E65527"/>
    <w:rsid w:val="00E66940"/>
    <w:rsid w:val="00E92FFA"/>
    <w:rsid w:val="00F455EF"/>
    <w:rsid w:val="00FE5726"/>
    <w:rsid w:val="38FB17A7"/>
    <w:rsid w:val="7CEA3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24"/>
    <w:qFormat/>
    <w:uiPriority w:val="0"/>
    <w:rPr>
      <w:rFonts w:ascii="宋体" w:hAnsi="Times New Roman"/>
      <w:sz w:val="18"/>
      <w:szCs w:val="18"/>
      <w:lang w:val="zh-CN" w:eastAsia="zh-CN"/>
    </w:rPr>
  </w:style>
  <w:style w:type="paragraph" w:styleId="4">
    <w:name w:val="annotation text"/>
    <w:basedOn w:val="1"/>
    <w:link w:val="19"/>
    <w:unhideWhenUsed/>
    <w:qFormat/>
    <w:uiPriority w:val="99"/>
    <w:pPr>
      <w:jc w:val="left"/>
    </w:pPr>
  </w:style>
  <w:style w:type="paragraph" w:styleId="5">
    <w:name w:val="Balloon Text"/>
    <w:basedOn w:val="1"/>
    <w:link w:val="21"/>
    <w:unhideWhenUsed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link w:val="37"/>
    <w:uiPriority w:val="0"/>
    <w:pPr>
      <w:spacing w:line="360" w:lineRule="auto"/>
      <w:ind w:firstLine="482"/>
    </w:pPr>
    <w:rPr>
      <w:rFonts w:ascii="Times New Roman" w:hAnsi="Times New Roman"/>
      <w:sz w:val="24"/>
      <w:szCs w:val="24"/>
    </w:rPr>
  </w:style>
  <w:style w:type="paragraph" w:styleId="9">
    <w:name w:val="annotation subject"/>
    <w:basedOn w:val="4"/>
    <w:next w:val="4"/>
    <w:link w:val="20"/>
    <w:unhideWhenUsed/>
    <w:uiPriority w:val="99"/>
    <w:rPr>
      <w:b/>
      <w:bCs/>
    </w:rPr>
  </w:style>
  <w:style w:type="table" w:styleId="11">
    <w:name w:val="Table Grid"/>
    <w:basedOn w:val="10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uiPriority w:val="99"/>
  </w:style>
  <w:style w:type="character" w:styleId="14">
    <w:name w:val="FollowedHyperlink"/>
    <w:unhideWhenUsed/>
    <w:uiPriority w:val="99"/>
    <w:rPr>
      <w:color w:val="800080"/>
      <w:u w:val="single"/>
    </w:rPr>
  </w:style>
  <w:style w:type="character" w:styleId="15">
    <w:name w:val="Hyperlink"/>
    <w:unhideWhenUsed/>
    <w:uiPriority w:val="99"/>
    <w:rPr>
      <w:color w:val="0000FF"/>
      <w:u w:val="single"/>
    </w:rPr>
  </w:style>
  <w:style w:type="character" w:styleId="16">
    <w:name w:val="annotation reference"/>
    <w:basedOn w:val="12"/>
    <w:unhideWhenUsed/>
    <w:qFormat/>
    <w:uiPriority w:val="99"/>
    <w:rPr>
      <w:sz w:val="21"/>
      <w:szCs w:val="21"/>
    </w:rPr>
  </w:style>
  <w:style w:type="character" w:customStyle="1" w:styleId="17">
    <w:name w:val="页眉 Char"/>
    <w:basedOn w:val="12"/>
    <w:link w:val="7"/>
    <w:qFormat/>
    <w:uiPriority w:val="0"/>
    <w:rPr>
      <w:sz w:val="18"/>
      <w:szCs w:val="18"/>
    </w:rPr>
  </w:style>
  <w:style w:type="character" w:customStyle="1" w:styleId="18">
    <w:name w:val="页脚 Char"/>
    <w:basedOn w:val="12"/>
    <w:link w:val="6"/>
    <w:uiPriority w:val="99"/>
    <w:rPr>
      <w:sz w:val="18"/>
      <w:szCs w:val="18"/>
    </w:rPr>
  </w:style>
  <w:style w:type="character" w:customStyle="1" w:styleId="19">
    <w:name w:val="批注文字 Char"/>
    <w:basedOn w:val="12"/>
    <w:link w:val="4"/>
    <w:uiPriority w:val="0"/>
    <w:rPr>
      <w:rFonts w:ascii="Calibri" w:hAnsi="Calibri" w:eastAsia="宋体" w:cs="Times New Roman"/>
    </w:rPr>
  </w:style>
  <w:style w:type="character" w:customStyle="1" w:styleId="20">
    <w:name w:val="批注主题 Char"/>
    <w:basedOn w:val="19"/>
    <w:link w:val="9"/>
    <w:qFormat/>
    <w:uiPriority w:val="0"/>
    <w:rPr>
      <w:rFonts w:ascii="Calibri" w:hAnsi="Calibri" w:eastAsia="宋体" w:cs="Times New Roman"/>
      <w:b/>
      <w:bCs/>
    </w:rPr>
  </w:style>
  <w:style w:type="character" w:customStyle="1" w:styleId="21">
    <w:name w:val="批注框文本 Char"/>
    <w:basedOn w:val="12"/>
    <w:link w:val="5"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2">
    <w:name w:val="标题 1 Char"/>
    <w:basedOn w:val="12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23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4">
    <w:name w:val="文档结构图 Char"/>
    <w:basedOn w:val="12"/>
    <w:link w:val="3"/>
    <w:uiPriority w:val="0"/>
    <w:rPr>
      <w:rFonts w:ascii="宋体" w:hAnsi="Times New Roman" w:eastAsia="宋体" w:cs="Times New Roman"/>
      <w:sz w:val="18"/>
      <w:szCs w:val="18"/>
      <w:lang w:val="zh-CN" w:eastAsia="zh-CN"/>
    </w:rPr>
  </w:style>
  <w:style w:type="paragraph" w:customStyle="1" w:styleId="25">
    <w:name w:val="Default"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paragraph" w:customStyle="1" w:styleId="26">
    <w:name w:val="CM10"/>
    <w:basedOn w:val="1"/>
    <w:next w:val="1"/>
    <w:uiPriority w:val="0"/>
    <w:pPr>
      <w:autoSpaceDE w:val="0"/>
      <w:autoSpaceDN w:val="0"/>
      <w:adjustRightInd w:val="0"/>
      <w:spacing w:line="468" w:lineRule="atLeast"/>
      <w:jc w:val="left"/>
    </w:pPr>
    <w:rPr>
      <w:rFonts w:ascii="宋体" w:hAnsi="Times New Roman"/>
      <w:kern w:val="0"/>
      <w:sz w:val="24"/>
      <w:szCs w:val="24"/>
    </w:rPr>
  </w:style>
  <w:style w:type="character" w:customStyle="1" w:styleId="27">
    <w:name w:val="页脚 字符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8">
    <w:name w:val="页眉 字符"/>
    <w:uiPriority w:val="99"/>
    <w:rPr>
      <w:kern w:val="2"/>
      <w:sz w:val="18"/>
      <w:szCs w:val="18"/>
    </w:rPr>
  </w:style>
  <w:style w:type="paragraph" w:customStyle="1" w:styleId="29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0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31">
    <w:name w:val="xl67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32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character" w:customStyle="1" w:styleId="33">
    <w:name w:val="批注框文本 字符"/>
    <w:semiHidden/>
    <w:uiPriority w:val="99"/>
    <w:rPr>
      <w:kern w:val="2"/>
      <w:sz w:val="18"/>
      <w:szCs w:val="18"/>
    </w:rPr>
  </w:style>
  <w:style w:type="character" w:customStyle="1" w:styleId="34">
    <w:name w:val="批注文字 字符"/>
    <w:semiHidden/>
    <w:uiPriority w:val="99"/>
    <w:rPr>
      <w:kern w:val="2"/>
      <w:sz w:val="21"/>
      <w:szCs w:val="22"/>
    </w:rPr>
  </w:style>
  <w:style w:type="character" w:customStyle="1" w:styleId="35">
    <w:name w:val="批注主题 字符"/>
    <w:semiHidden/>
    <w:qFormat/>
    <w:uiPriority w:val="99"/>
    <w:rPr>
      <w:b/>
      <w:bCs/>
      <w:kern w:val="2"/>
      <w:sz w:val="21"/>
      <w:szCs w:val="22"/>
    </w:rPr>
  </w:style>
  <w:style w:type="character" w:customStyle="1" w:styleId="36">
    <w:name w:val="正文文本缩进 3 Char"/>
    <w:basedOn w:val="12"/>
    <w:semiHidden/>
    <w:qFormat/>
    <w:uiPriority w:val="99"/>
    <w:rPr>
      <w:rFonts w:ascii="Calibri" w:hAnsi="Calibri" w:eastAsia="宋体" w:cs="Times New Roman"/>
      <w:sz w:val="16"/>
      <w:szCs w:val="16"/>
    </w:rPr>
  </w:style>
  <w:style w:type="character" w:customStyle="1" w:styleId="37">
    <w:name w:val="正文文本缩进 3 Char1"/>
    <w:link w:val="8"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38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9">
    <w:name w:val="_Style 38"/>
    <w:basedOn w:val="1"/>
    <w:next w:val="40"/>
    <w:qFormat/>
    <w:uiPriority w:val="34"/>
    <w:pPr>
      <w:ind w:firstLine="420" w:firstLineChars="200"/>
    </w:pPr>
  </w:style>
  <w:style w:type="paragraph" w:styleId="40">
    <w:name w:val="List Paragraph"/>
    <w:basedOn w:val="1"/>
    <w:qFormat/>
    <w:uiPriority w:val="34"/>
    <w:pPr>
      <w:ind w:firstLine="420" w:firstLineChars="200"/>
    </w:pPr>
  </w:style>
  <w:style w:type="paragraph" w:customStyle="1" w:styleId="41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42">
    <w:name w:val="xl69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43">
    <w:name w:val="xl70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15"/>
      <w:szCs w:val="1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345</Words>
  <Characters>1969</Characters>
  <Lines>16</Lines>
  <Paragraphs>4</Paragraphs>
  <TotalTime>214</TotalTime>
  <ScaleCrop>false</ScaleCrop>
  <LinksUpToDate>false</LinksUpToDate>
  <CharactersWithSpaces>2310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2021-01-04T04:30:00Z</dcterms:created>
  <dc:creator>赵辰恺 11966</dc:creator>
  <cp:lastModifiedBy>富强民主</cp:lastModifiedBy>
  <cp:lastPrinted>2021-03-22T03:32:00Z</cp:lastPrinted>
  <dcterms:modified xsi:type="dcterms:W3CDTF">2021-03-22T06:18:53Z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A75505BFA37D45ABBE93426ECFF1FC69</vt:lpwstr>
  </property>
</Properties>
</file>